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江西大余</w:t>
      </w:r>
      <w:r>
        <w:rPr>
          <w:rFonts w:hint="eastAsia" w:ascii="黑体" w:hAnsi="黑体" w:eastAsia="黑体" w:cs="黑体"/>
          <w:sz w:val="32"/>
          <w:szCs w:val="32"/>
        </w:rPr>
        <w:t>农村商业银行股份有限公司202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年下半年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资本管理信息披露报告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根据国家金融监督管理总局发布的《商业银行资本管理办法》(以下简称“办法”)附件23《第三档商业银行资本监管规定》的要求，向投资者和社会公众披露本行资本相关信息。</w:t>
      </w:r>
    </w:p>
    <w:p>
      <w:pPr>
        <w:ind w:firstLine="321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一、制度要求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国家金融监督管理总局对本行各级资本充足率最低要求如下：（1）核心一级资本充足率不得低于7.5%。（2）资本充足率不得低于8.5%。</w:t>
      </w:r>
    </w:p>
    <w:p>
      <w:pPr>
        <w:ind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充足率及风险资产情况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商业银行资本管理办法》规定，本行机构划分标准适用于第三档商业银行，其中信用风险采用权重法计量，操作风险采用基本指标法计量。在计量资本充足率时，采用按照第三档商业银行统一的计量方法进行资本计量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年12月31日，核心一级资本净额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55669.62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93077.69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万元，风险加权资产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587853.34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万元，核心一级资本充足率为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9.47</w:t>
      </w:r>
      <w:r>
        <w:rPr>
          <w:rFonts w:hint="eastAsia" w:ascii="仿宋_GB2312" w:hAnsi="仿宋_GB2312" w:eastAsia="仿宋_GB2312" w:cs="仿宋_GB2312"/>
          <w:sz w:val="32"/>
          <w:szCs w:val="32"/>
        </w:rPr>
        <w:t>%，资本充足率为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15.83</w:t>
      </w:r>
      <w:r>
        <w:rPr>
          <w:rFonts w:hint="eastAsia" w:ascii="仿宋_GB2312" w:hAnsi="仿宋_GB2312" w:eastAsia="仿宋_GB2312" w:cs="仿宋_GB2312"/>
          <w:sz w:val="32"/>
          <w:szCs w:val="32"/>
        </w:rPr>
        <w:t>%；调整后表内外资产余额</w:t>
      </w:r>
      <w:r>
        <w:rPr>
          <w:rFonts w:hint="eastAsia" w:ascii="仿宋_GB2312" w:hAnsi="仿宋" w:eastAsia="仿宋_GB2312" w:cs="Arial Unicode MS"/>
          <w:color w:val="000000"/>
          <w:sz w:val="28"/>
          <w:szCs w:val="28"/>
          <w:lang w:val="en-US" w:eastAsia="zh-CN"/>
        </w:rPr>
        <w:t>1006315.69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万元，杠杆率为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5.53</w:t>
      </w:r>
      <w:r>
        <w:rPr>
          <w:rFonts w:hint="eastAsia" w:ascii="仿宋_GB2312" w:hAnsi="仿宋_GB2312" w:eastAsia="仿宋_GB2312" w:cs="仿宋_GB2312"/>
          <w:sz w:val="32"/>
          <w:szCs w:val="32"/>
        </w:rPr>
        <w:t>%。核心一级资本充足率、资本充足率和杠杆率均高于监管部门要求的法定值。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1" w:firstLineChars="1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三、关键审慎监管指标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及资本构成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根据办法规定，本次需披露关键审慎监管指标及资本构成两张报表，具体如下：</w:t>
      </w:r>
    </w:p>
    <w:p>
      <w:pPr>
        <w:jc w:val="center"/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附表1  </w:t>
      </w:r>
      <w:r>
        <w:rPr>
          <w:rFonts w:ascii="楷体_GB2312" w:hAnsi="仿宋_GB2312" w:eastAsia="楷体_GB2312" w:cs="仿宋_GB2312"/>
          <w:b/>
          <w:sz w:val="28"/>
          <w:szCs w:val="28"/>
        </w:rPr>
        <w:t>关键审慎监管指标</w:t>
      </w: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       </w:t>
      </w:r>
    </w:p>
    <w:p>
      <w:pPr>
        <w:jc w:val="center"/>
        <w:rPr>
          <w:rFonts w:hint="default" w:ascii="楷体_GB2312" w:hAnsi="仿宋_GB2312" w:eastAsia="楷体_GB2312" w:cs="仿宋_GB2312"/>
          <w:b/>
          <w:sz w:val="28"/>
          <w:szCs w:val="28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                                  单位：人民币万元  %</w:t>
      </w:r>
    </w:p>
    <w:tbl>
      <w:tblPr>
        <w:tblStyle w:val="3"/>
        <w:tblW w:w="90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719"/>
        <w:gridCol w:w="1635"/>
        <w:gridCol w:w="18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报告期末（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T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上一期末（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T-1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核心一级资本净额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55669.62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53152.96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资本净额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93077.69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90066.39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信用风险加权资产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531403.34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512585.91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操作风险加权资产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56450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52425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风险加权资产合计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587853.34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565010.91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7" w:type="dxa"/>
            <w:tcBorders>
              <w:left w:val="nil"/>
            </w:tcBorders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核心一级资本充足率（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9.47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9.41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资本充足率（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15.83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15.94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调整后表内外资产余额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1006315.69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1006202.72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杠杆率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5.53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 w:cs="Arial Unicode MS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杠杆率a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5.53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优质流动性资产充足率（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413.33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311.45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流动性比例（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52.14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56.75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shd w:val="clear" w:color="auto" w:fill="FFFFFF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19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流动性匹配率（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149.70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145.18</w:t>
            </w:r>
          </w:p>
        </w:tc>
      </w:tr>
    </w:tbl>
    <w:p>
      <w:pPr>
        <w:snapToGrid w:val="0"/>
        <w:spacing w:line="48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  <w:t xml:space="preserve">附表2 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  <w:t>资本构成</w:t>
      </w:r>
    </w:p>
    <w:p>
      <w:pPr>
        <w:jc w:val="center"/>
        <w:rPr>
          <w:rFonts w:hint="default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  <w:t xml:space="preserve">                                 单位：人民币万元   %</w:t>
      </w:r>
    </w:p>
    <w:tbl>
      <w:tblPr>
        <w:tblStyle w:val="3"/>
        <w:tblW w:w="8970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500"/>
        <w:gridCol w:w="190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实收资本和资本公积可计入部分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28195.77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留存收益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40568.20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盈余公积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13331.65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2b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一般风险准备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15009.81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2c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未分配利润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12226.74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累计其他综合收益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257.68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监管调整前的核心一级资本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69021.65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商誉（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扣除递延税负债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其他无形资产（土地使用权除外）（扣除递延税负债）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285.8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依赖未来盈利的由经营亏损引起的净递延税资产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损失准备缺口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直接或间接持有本银行的普通股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持有的金融机构一级资本工具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6.23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监管规定的其他应从核心一级资本中扣除的项目合计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13352.03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核心一级资本监管调整总和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13352.03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核心一级资本净额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55669.62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监管认可的其他资本工具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超额损失准备可计入部分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37408.07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00" w:type="dxa"/>
            <w:shd w:val="clear" w:color="auto" w:fill="FFFFFF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监管调整前的其他资本</w:t>
            </w: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持有的金融机构二级资本工具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持有本银行或第三档商业银行的其他资本工具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监管规定的其他应从其他资本中扣除的项目合计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其他资本监管调整总和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其他资本净额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0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总资本净额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93077.69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7677"/>
    <w:rsid w:val="01FD6DCF"/>
    <w:rsid w:val="03F04891"/>
    <w:rsid w:val="048B5DD7"/>
    <w:rsid w:val="0590412E"/>
    <w:rsid w:val="08565FE5"/>
    <w:rsid w:val="092B097C"/>
    <w:rsid w:val="0A7C1051"/>
    <w:rsid w:val="0CC91453"/>
    <w:rsid w:val="0E9870F3"/>
    <w:rsid w:val="0F27699D"/>
    <w:rsid w:val="0FFA05BC"/>
    <w:rsid w:val="101F22CC"/>
    <w:rsid w:val="126C568D"/>
    <w:rsid w:val="134E4A4D"/>
    <w:rsid w:val="144053D9"/>
    <w:rsid w:val="1EC66A28"/>
    <w:rsid w:val="1F5C561A"/>
    <w:rsid w:val="21CD035B"/>
    <w:rsid w:val="227F0BF5"/>
    <w:rsid w:val="2342327D"/>
    <w:rsid w:val="241862A8"/>
    <w:rsid w:val="24B2373D"/>
    <w:rsid w:val="25092568"/>
    <w:rsid w:val="25BA3F8F"/>
    <w:rsid w:val="26341D7A"/>
    <w:rsid w:val="28CA01E6"/>
    <w:rsid w:val="29F23C23"/>
    <w:rsid w:val="2A667E21"/>
    <w:rsid w:val="2ED746DC"/>
    <w:rsid w:val="32366DE8"/>
    <w:rsid w:val="32BD2C00"/>
    <w:rsid w:val="33852704"/>
    <w:rsid w:val="33B550C6"/>
    <w:rsid w:val="348B4F06"/>
    <w:rsid w:val="34CC0588"/>
    <w:rsid w:val="36975E45"/>
    <w:rsid w:val="377568B2"/>
    <w:rsid w:val="380F48D6"/>
    <w:rsid w:val="39A9502D"/>
    <w:rsid w:val="3A4B1059"/>
    <w:rsid w:val="3CA9501C"/>
    <w:rsid w:val="3E46121F"/>
    <w:rsid w:val="40742779"/>
    <w:rsid w:val="40A85AAA"/>
    <w:rsid w:val="417F5DA7"/>
    <w:rsid w:val="43651725"/>
    <w:rsid w:val="44935C9B"/>
    <w:rsid w:val="44AB144D"/>
    <w:rsid w:val="44EE5C5A"/>
    <w:rsid w:val="45610B5D"/>
    <w:rsid w:val="461B5EF6"/>
    <w:rsid w:val="48D100D8"/>
    <w:rsid w:val="49277494"/>
    <w:rsid w:val="4A4D170E"/>
    <w:rsid w:val="4A9D1E22"/>
    <w:rsid w:val="4AA678E0"/>
    <w:rsid w:val="4AEE51D0"/>
    <w:rsid w:val="510D5E4E"/>
    <w:rsid w:val="5224518F"/>
    <w:rsid w:val="525D7689"/>
    <w:rsid w:val="542055BD"/>
    <w:rsid w:val="55D0629F"/>
    <w:rsid w:val="56DD53F8"/>
    <w:rsid w:val="57EA6989"/>
    <w:rsid w:val="5A9C2C06"/>
    <w:rsid w:val="5BE95F08"/>
    <w:rsid w:val="60614425"/>
    <w:rsid w:val="61F93360"/>
    <w:rsid w:val="629118B4"/>
    <w:rsid w:val="62D245EC"/>
    <w:rsid w:val="634B31A8"/>
    <w:rsid w:val="63F415F7"/>
    <w:rsid w:val="64230421"/>
    <w:rsid w:val="659C0EE5"/>
    <w:rsid w:val="68CE55D7"/>
    <w:rsid w:val="690428EB"/>
    <w:rsid w:val="696E7404"/>
    <w:rsid w:val="6A8450DC"/>
    <w:rsid w:val="6C4E0CA3"/>
    <w:rsid w:val="6E8C6A3A"/>
    <w:rsid w:val="70432487"/>
    <w:rsid w:val="70AB71F9"/>
    <w:rsid w:val="70E80BFB"/>
    <w:rsid w:val="7196129E"/>
    <w:rsid w:val="72075733"/>
    <w:rsid w:val="729B22F6"/>
    <w:rsid w:val="7305742E"/>
    <w:rsid w:val="74202BB5"/>
    <w:rsid w:val="75A96845"/>
    <w:rsid w:val="76B27DC9"/>
    <w:rsid w:val="78EF4740"/>
    <w:rsid w:val="793A1DAD"/>
    <w:rsid w:val="79EF5D58"/>
    <w:rsid w:val="7B382F8A"/>
    <w:rsid w:val="7F4956F8"/>
    <w:rsid w:val="7FD5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匿名用户</cp:lastModifiedBy>
  <dcterms:modified xsi:type="dcterms:W3CDTF">2026-01-21T06:51:34Z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