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0"/>
          <w:szCs w:val="48"/>
          <w:lang w:val="en-US" w:eastAsia="zh-CN"/>
        </w:rPr>
      </w:pPr>
    </w:p>
    <w:p>
      <w:pPr>
        <w:jc w:val="center"/>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百福新市民贷</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b/>
          <w:bCs/>
          <w:sz w:val="24"/>
          <w:szCs w:val="32"/>
          <w:lang w:val="en-US" w:eastAsia="zh-CN"/>
        </w:rPr>
        <w:t>产品简介：</w:t>
      </w:r>
      <w:r>
        <w:rPr>
          <w:rFonts w:hint="eastAsia" w:ascii="仿宋_GB2312" w:hAnsi="仿宋_GB2312" w:eastAsia="仿宋_GB2312" w:cs="仿宋_GB2312"/>
          <w:sz w:val="24"/>
          <w:szCs w:val="32"/>
          <w:lang w:val="en-US" w:eastAsia="zh-CN"/>
        </w:rPr>
        <w:t>“百福·新市民贷”是指基于新市民的品行和信誉，向新市民发放的可循环的贷款。</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b/>
          <w:bCs/>
          <w:sz w:val="24"/>
          <w:szCs w:val="32"/>
          <w:lang w:val="en-US" w:eastAsia="zh-CN"/>
        </w:rPr>
        <w:t>服务对象：</w:t>
      </w:r>
      <w:r>
        <w:rPr>
          <w:rFonts w:hint="eastAsia" w:ascii="仿宋_GB2312" w:hAnsi="仿宋_GB2312" w:eastAsia="仿宋_GB2312" w:cs="仿宋_GB2312"/>
          <w:sz w:val="24"/>
          <w:szCs w:val="32"/>
          <w:lang w:val="en-US" w:eastAsia="zh-CN"/>
        </w:rPr>
        <w:t>户籍不在大余，因工作等原因来到大余常住的群体，包括但不限于来大余经商创业人员、务工人员和新就业大中专毕业生等。道德品行良好，具备还款能力的22-60周岁自然人无重大不良信用记录。</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业务特点：</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1.信用贷款额度：根据借款人的品行、信誉、客户类型和收入测算贷款授信金额；</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2.企业高级管理人员及财务人员，授信额度＝借款人年工资收入×2.5，最高不超过200万元，单签最高不超过20万元。</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3.企业中级管理人员（中层人员）及高级技术人员，授信额度＝借款人年工资收入×2，最高不超过50万元，单签最高不超过10万元。</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4.企业一般工作人员、创业人员或其他人员，最高授信额度＝借款人年工资收入×1.8或年日均存款（含他行）×4，最高不超过30万元，单签最高不超过10万元。</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5.上市公司及其子公司员工按以上额度计算后还可以上浮50%；规上企业员工按以上额度计算后还可以上浮30%；有技术从业等国家认可相关职业资质证书的按以上额度计算后还可以上浮20%，以上三个上浮不叠加，同时不超过对应人员上限。</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6.贷款期限：不得超过3年，且借款人实际年龄与贷款期限之和原则上不得超过60周岁。</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7.贷款利率：按照利率定价管理办法进行套算，企业高级管理人员及财务人员标准利率为最新人行市场利率LPR加点100BP，其余人员标准利率为最新人行市场利率LPR加点200BP。</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8.还款方式：按月结息到期还本。</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default" w:ascii="仿宋_GB2312" w:hAnsi="仿宋_GB2312" w:eastAsia="仿宋_GB2312" w:cs="仿宋_GB2312"/>
          <w:sz w:val="24"/>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937D90"/>
    <w:rsid w:val="2BB3196A"/>
    <w:rsid w:val="3A6D55CB"/>
    <w:rsid w:val="4EE42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2026-02-06T06:59:10Z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