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江西赣县</w:t>
      </w:r>
      <w:r>
        <w:rPr>
          <w:rFonts w:hint="eastAsia" w:ascii="黑体" w:hAnsi="黑体" w:eastAsia="黑体" w:cs="黑体"/>
          <w:sz w:val="44"/>
          <w:szCs w:val="44"/>
        </w:rPr>
        <w:t>农村商业银行股份有限公司</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w:t>
      </w:r>
      <w:r>
        <w:rPr>
          <w:rFonts w:hint="eastAsia" w:ascii="黑体" w:hAnsi="黑体" w:eastAsia="黑体" w:cs="黑体"/>
          <w:sz w:val="44"/>
          <w:szCs w:val="44"/>
          <w:lang w:val="en-US" w:eastAsia="zh-CN"/>
        </w:rPr>
        <w:t>3季度</w:t>
      </w:r>
      <w:r>
        <w:rPr>
          <w:rFonts w:hint="eastAsia" w:ascii="黑体" w:hAnsi="黑体" w:eastAsia="黑体" w:cs="黑体"/>
          <w:sz w:val="44"/>
          <w:szCs w:val="44"/>
        </w:rPr>
        <w:t>资本管理信息披露报告</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根据国家金融监督管理总局发布的《商业银行资本管理办法》(以下简称“办法”)的要求，向投资者和社会公众披露本行资本相关信息。</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一、制度要求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国家金融监督管理总局对本行各级资本充足率最低要求如下：（1）核心一级资本充足率不得低于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.5%。（2）资本充足率不得低于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.5%。</w:t>
      </w:r>
    </w:p>
    <w:p>
      <w:pPr>
        <w:numPr>
          <w:ilvl w:val="0"/>
          <w:numId w:val="1"/>
        </w:numPr>
        <w:spacing w:line="560" w:lineRule="exact"/>
        <w:ind w:firstLine="640" w:firstLineChars="200"/>
        <w:jc w:val="both"/>
        <w:rPr>
          <w:rFonts w:hint="eastAsia" w:ascii="黑体" w:hAnsi="黑体" w:eastAsia="黑体" w:cs="黑体"/>
          <w:spacing w:val="0"/>
          <w:sz w:val="32"/>
          <w:szCs w:val="32"/>
          <w:lang w:val="zh-TW"/>
        </w:rPr>
      </w:pPr>
      <w:r>
        <w:rPr>
          <w:rFonts w:hint="eastAsia" w:ascii="黑体" w:hAnsi="黑体" w:eastAsia="黑体" w:cs="黑体"/>
          <w:spacing w:val="0"/>
          <w:sz w:val="32"/>
          <w:szCs w:val="32"/>
          <w:lang w:val="zh-TW"/>
        </w:rPr>
        <w:t>资本监管指标计算范围</w:t>
      </w:r>
    </w:p>
    <w:p>
      <w:pPr>
        <w:spacing w:line="560" w:lineRule="exact"/>
        <w:ind w:firstLine="640" w:firstLineChars="200"/>
        <w:rPr>
          <w:rFonts w:hint="eastAsia" w:ascii="仿宋_GB2312" w:hAnsi="仿宋_GB2312" w:eastAsia="仿宋_GB2312" w:cs="仿宋_GB2312"/>
          <w:bCs/>
          <w:spacing w:val="0"/>
          <w:kern w:val="0"/>
          <w:sz w:val="32"/>
          <w:szCs w:val="32"/>
          <w:lang w:val="en-US" w:eastAsia="zh-CN"/>
        </w:rPr>
      </w:pPr>
      <w:r>
        <w:rPr>
          <w:rFonts w:hint="eastAsia" w:ascii="仿宋_GB2312" w:hAnsi="仿宋_GB2312" w:eastAsia="仿宋_GB2312" w:cs="仿宋_GB2312"/>
          <w:sz w:val="32"/>
          <w:szCs w:val="32"/>
          <w:lang w:val="en-US" w:eastAsia="zh-CN"/>
        </w:rPr>
        <w:t>本行的</w:t>
      </w:r>
      <w:r>
        <w:rPr>
          <w:rFonts w:hint="eastAsia" w:ascii="仿宋_GB2312" w:hAnsi="仿宋_GB2312" w:eastAsia="仿宋_GB2312" w:cs="仿宋_GB2312"/>
          <w:sz w:val="32"/>
          <w:szCs w:val="32"/>
          <w:lang w:val="zh-TW"/>
        </w:rPr>
        <w:t>资本监管指标计算范围</w:t>
      </w:r>
      <w:r>
        <w:rPr>
          <w:rFonts w:hint="eastAsia" w:ascii="仿宋_GB2312" w:hAnsi="仿宋_GB2312" w:eastAsia="仿宋_GB2312" w:cs="仿宋_GB2312"/>
          <w:bCs/>
          <w:spacing w:val="0"/>
          <w:kern w:val="0"/>
          <w:sz w:val="32"/>
          <w:szCs w:val="32"/>
        </w:rPr>
        <w:t>包括</w:t>
      </w:r>
      <w:r>
        <w:rPr>
          <w:rFonts w:hint="eastAsia" w:ascii="仿宋_GB2312" w:hAnsi="仿宋_GB2312" w:eastAsia="仿宋_GB2312" w:cs="仿宋_GB2312"/>
          <w:bCs/>
          <w:spacing w:val="0"/>
          <w:kern w:val="0"/>
          <w:sz w:val="32"/>
          <w:szCs w:val="32"/>
          <w:lang w:val="en-US" w:eastAsia="zh-CN"/>
        </w:rPr>
        <w:t>辖内</w:t>
      </w:r>
      <w:r>
        <w:rPr>
          <w:rFonts w:hint="eastAsia" w:ascii="仿宋_GB2312" w:hAnsi="仿宋_GB2312" w:eastAsia="仿宋_GB2312" w:cs="仿宋_GB2312"/>
          <w:bCs/>
          <w:spacing w:val="0"/>
          <w:kern w:val="0"/>
          <w:sz w:val="32"/>
          <w:szCs w:val="32"/>
        </w:rPr>
        <w:t>所有分支机构</w:t>
      </w:r>
      <w:r>
        <w:rPr>
          <w:rFonts w:hint="eastAsia" w:ascii="仿宋_GB2312" w:hAnsi="仿宋_GB2312" w:eastAsia="仿宋_GB2312" w:cs="仿宋_GB2312"/>
          <w:bCs/>
          <w:spacing w:val="0"/>
          <w:kern w:val="0"/>
          <w:sz w:val="32"/>
          <w:szCs w:val="32"/>
          <w:lang w:eastAsia="zh-CN"/>
        </w:rPr>
        <w:t>。</w:t>
      </w:r>
      <w:r>
        <w:rPr>
          <w:rFonts w:hint="eastAsia" w:ascii="仿宋_GB2312" w:hAnsi="仿宋_GB2312" w:eastAsia="仿宋_GB2312" w:cs="仿宋_GB2312"/>
          <w:bCs/>
          <w:spacing w:val="0"/>
          <w:kern w:val="0"/>
          <w:sz w:val="32"/>
          <w:szCs w:val="32"/>
        </w:rPr>
        <w:t>计算资本监管指标，从各级资本中对应扣除</w:t>
      </w:r>
      <w:r>
        <w:rPr>
          <w:rFonts w:hint="eastAsia" w:ascii="仿宋_GB2312" w:hAnsi="仿宋_GB2312" w:eastAsia="仿宋_GB2312" w:cs="仿宋_GB2312"/>
          <w:bCs/>
          <w:spacing w:val="0"/>
          <w:kern w:val="0"/>
          <w:sz w:val="32"/>
          <w:szCs w:val="32"/>
          <w:lang w:val="en-US" w:eastAsia="zh-CN"/>
        </w:rPr>
        <w:t>项：</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（一）商业银行直接或间接拥有50%以上表决权的被投资金融机构。</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（二）商业银行拥有50%以下（含）表决权的被投资金融机构，但通过与其他表决权持有人之间的协议能够控制50%以上表决权的。若这些金融机构存在资本缺口，还应扣除相应的资本缺口。</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（三）商业银行拥有50%以下（含）表决权的被投资金融机构，但综合考虑下列事实和情况后，判断商业银行持有的表决权足以使其有能力主导被投资金融机构相关活动的：</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1.商业银行持有的表决权相对于其他投资方持有的表决权份额的大小，以及其他投资方持有表决权的分散程度。</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2.商业银行和其他投资方持有的被投资金融机构的潜在表决权，如可转换公司债券、可执行认股权证等。</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3.其他合同安排产生的权利。</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4.被投资金融机构以往的表决权行使情况等其他相关事实和情况。</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（四）其他证据表明商业银行实际控制被投资金融机构的情况。</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bCs/>
          <w:spacing w:val="0"/>
          <w:kern w:val="0"/>
          <w:sz w:val="32"/>
          <w:szCs w:val="32"/>
          <w:lang w:val="en-US" w:eastAsia="zh-CN"/>
        </w:rPr>
        <w:t>五</w:t>
      </w:r>
      <w:r>
        <w:rPr>
          <w:rFonts w:hint="eastAsia" w:ascii="仿宋_GB2312" w:hAnsi="仿宋_GB2312" w:eastAsia="仿宋_GB2312" w:cs="仿宋_GB2312"/>
          <w:bCs/>
          <w:spacing w:val="0"/>
          <w:kern w:val="0"/>
          <w:sz w:val="32"/>
          <w:szCs w:val="32"/>
        </w:rPr>
        <w:t>）具有业务同质性的多个金融机构，虽然单个金融机构资产规模占银行集团整体资产规模的比例较小，但该类金融机构总体风险足以对银行集团的财务状况及风险水平造成重大影响。</w:t>
      </w:r>
    </w:p>
    <w:p>
      <w:pPr>
        <w:spacing w:line="560" w:lineRule="exact"/>
        <w:ind w:firstLine="640" w:firstLineChars="200"/>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bCs/>
          <w:spacing w:val="0"/>
          <w:kern w:val="0"/>
          <w:sz w:val="32"/>
          <w:szCs w:val="32"/>
          <w:lang w:val="en-US" w:eastAsia="zh-CN"/>
        </w:rPr>
        <w:t>六</w:t>
      </w:r>
      <w:r>
        <w:rPr>
          <w:rFonts w:hint="eastAsia" w:ascii="仿宋_GB2312" w:hAnsi="仿宋_GB2312" w:eastAsia="仿宋_GB2312" w:cs="仿宋_GB2312"/>
          <w:bCs/>
          <w:spacing w:val="0"/>
          <w:kern w:val="0"/>
          <w:sz w:val="32"/>
          <w:szCs w:val="32"/>
        </w:rPr>
        <w:t>）被投资金融机构所产生的合规风险、声誉风险造成的危害和损失足以对银行集团的声誉造成重大影响。</w:t>
      </w:r>
    </w:p>
    <w:p>
      <w:pPr>
        <w:spacing w:line="560" w:lineRule="exact"/>
        <w:ind w:firstLine="640" w:firstLineChars="200"/>
        <w:rPr>
          <w:rFonts w:hint="eastAsia" w:ascii="仿宋_GB2312" w:hAnsi="仿宋_GB2312" w:eastAsia="仿宋_GB2312" w:cs="仿宋_GB2312"/>
          <w:bCs/>
          <w:spacing w:val="0"/>
          <w:kern w:val="0"/>
          <w:sz w:val="32"/>
          <w:szCs w:val="32"/>
          <w:lang w:val="en-US" w:eastAsia="zh-CN"/>
        </w:rPr>
      </w:pPr>
      <w:r>
        <w:rPr>
          <w:rFonts w:hint="eastAsia" w:ascii="仿宋_GB2312" w:hAnsi="仿宋_GB2312" w:eastAsia="仿宋_GB2312" w:cs="仿宋_GB2312"/>
          <w:bCs/>
          <w:spacing w:val="0"/>
          <w:kern w:val="0"/>
          <w:sz w:val="32"/>
          <w:szCs w:val="32"/>
          <w:lang w:val="en-US" w:eastAsia="zh-CN"/>
        </w:rPr>
        <w:t>扣除以上</w:t>
      </w:r>
      <w:r>
        <w:rPr>
          <w:rFonts w:hint="eastAsia" w:ascii="仿宋_GB2312" w:hAnsi="仿宋_GB2312" w:eastAsia="仿宋_GB2312" w:cs="仿宋_GB2312"/>
          <w:bCs/>
          <w:spacing w:val="0"/>
          <w:kern w:val="0"/>
          <w:sz w:val="32"/>
          <w:szCs w:val="32"/>
        </w:rPr>
        <w:t>机构的所有资本投资。若这些金融机构存在资本缺口，还应扣除相应的资本缺口</w:t>
      </w:r>
      <w:r>
        <w:rPr>
          <w:rFonts w:hint="eastAsia" w:ascii="仿宋_GB2312" w:hAnsi="仿宋_GB2312" w:eastAsia="仿宋_GB2312" w:cs="仿宋_GB2312"/>
          <w:bCs/>
          <w:spacing w:val="0"/>
          <w:kern w:val="0"/>
          <w:sz w:val="32"/>
          <w:szCs w:val="32"/>
          <w:lang w:val="en-US" w:eastAsia="zh-CN"/>
        </w:rPr>
        <w:t>。</w:t>
      </w:r>
    </w:p>
    <w:p>
      <w:pPr>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、资产充足率及风险资产情况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按照《商业银行资本管理办法》规定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本行机构划分标准适用于第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档商业银行，其中信用风险采用权重法计量，操作风险采用基本指标法计量。在计量资本充足率时，采用按照第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档商业银行统一的计量方法进行资本计量。截至20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日，核心一级资本净额</w:t>
      </w:r>
      <w:r>
        <w:rPr>
          <w:rFonts w:hint="eastAsia" w:ascii="仿宋_GB2312" w:hAnsi="仿宋_GB2312" w:eastAsia="仿宋_GB2312" w:cs="仿宋_GB2312"/>
          <w:sz w:val="32"/>
          <w:szCs w:val="32"/>
          <w:lang w:val="en-US" w:eastAsia="zh-CN"/>
        </w:rPr>
        <w:t>123407.47</w:t>
      </w:r>
      <w:r>
        <w:rPr>
          <w:rFonts w:hint="eastAsia" w:ascii="仿宋_GB2312" w:hAnsi="仿宋_GB2312" w:eastAsia="仿宋_GB2312" w:cs="仿宋_GB2312"/>
          <w:sz w:val="32"/>
          <w:szCs w:val="32"/>
        </w:rPr>
        <w:t>万元，资本净额</w:t>
      </w:r>
      <w:r>
        <w:rPr>
          <w:rFonts w:hint="eastAsia" w:ascii="仿宋_GB2312" w:hAnsi="仿宋_GB2312" w:eastAsia="仿宋_GB2312" w:cs="仿宋_GB2312"/>
          <w:sz w:val="32"/>
          <w:szCs w:val="32"/>
          <w:lang w:val="en-US" w:eastAsia="zh-CN"/>
        </w:rPr>
        <w:t>135370.38</w:t>
      </w:r>
      <w:r>
        <w:rPr>
          <w:rFonts w:hint="eastAsia" w:ascii="仿宋_GB2312" w:hAnsi="仿宋_GB2312" w:eastAsia="仿宋_GB2312" w:cs="仿宋_GB2312"/>
          <w:sz w:val="32"/>
          <w:szCs w:val="32"/>
        </w:rPr>
        <w:t>万元，风险加权资产</w:t>
      </w:r>
      <w:r>
        <w:rPr>
          <w:rFonts w:hint="eastAsia" w:ascii="仿宋_GB2312" w:hAnsi="仿宋_GB2312" w:eastAsia="仿宋_GB2312" w:cs="仿宋_GB2312"/>
          <w:sz w:val="32"/>
          <w:szCs w:val="32"/>
          <w:lang w:val="en-US" w:eastAsia="zh-CN"/>
        </w:rPr>
        <w:t>1057008.13</w:t>
      </w:r>
      <w:r>
        <w:rPr>
          <w:rFonts w:hint="eastAsia" w:ascii="仿宋_GB2312" w:hAnsi="仿宋_GB2312" w:eastAsia="仿宋_GB2312" w:cs="仿宋_GB2312"/>
          <w:sz w:val="32"/>
          <w:szCs w:val="32"/>
        </w:rPr>
        <w:t>万元，核心一级资本充足率为</w:t>
      </w:r>
      <w:r>
        <w:rPr>
          <w:rFonts w:hint="eastAsia" w:ascii="仿宋_GB2312" w:hAnsi="仿宋_GB2312" w:eastAsia="仿宋_GB2312" w:cs="仿宋_GB2312"/>
          <w:sz w:val="32"/>
          <w:szCs w:val="32"/>
          <w:lang w:val="en-US" w:eastAsia="zh-CN"/>
        </w:rPr>
        <w:t>11.68</w:t>
      </w:r>
      <w:r>
        <w:rPr>
          <w:rFonts w:hint="eastAsia" w:ascii="仿宋_GB2312" w:hAnsi="仿宋_GB2312" w:eastAsia="仿宋_GB2312" w:cs="仿宋_GB2312"/>
          <w:sz w:val="32"/>
          <w:szCs w:val="32"/>
        </w:rPr>
        <w:t>%，资本充足率为</w:t>
      </w:r>
      <w:r>
        <w:rPr>
          <w:rFonts w:hint="eastAsia" w:ascii="仿宋_GB2312" w:hAnsi="仿宋_GB2312" w:eastAsia="仿宋_GB2312" w:cs="仿宋_GB2312"/>
          <w:sz w:val="32"/>
          <w:szCs w:val="32"/>
          <w:lang w:val="en-US" w:eastAsia="zh-CN"/>
        </w:rPr>
        <w:t>12.81</w:t>
      </w:r>
      <w:r>
        <w:rPr>
          <w:rFonts w:hint="eastAsia" w:ascii="仿宋_GB2312" w:hAnsi="仿宋_GB2312" w:eastAsia="仿宋_GB2312" w:cs="仿宋_GB2312"/>
          <w:sz w:val="32"/>
          <w:szCs w:val="32"/>
        </w:rPr>
        <w:t>%；调整后表内外资产余额</w:t>
      </w:r>
      <w:r>
        <w:rPr>
          <w:rFonts w:hint="eastAsia" w:ascii="仿宋_GB2312" w:hAnsi="仿宋" w:eastAsia="仿宋_GB2312" w:cs="Arial Unicode MS"/>
          <w:color w:val="000000"/>
          <w:sz w:val="32"/>
          <w:szCs w:val="32"/>
          <w:lang w:val="en-US" w:eastAsia="zh-CN"/>
        </w:rPr>
        <w:t>1858766.49</w:t>
      </w:r>
      <w:r>
        <w:rPr>
          <w:rFonts w:hint="eastAsia" w:ascii="仿宋_GB2312" w:hAnsi="仿宋_GB2312" w:eastAsia="仿宋_GB2312" w:cs="仿宋_GB2312"/>
          <w:sz w:val="32"/>
          <w:szCs w:val="32"/>
        </w:rPr>
        <w:t>万元，杠杆率为</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%。核心一级资本充足率、资本充足率和杠杆率均高于监管部门要求的法定值。</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、关键审慎监管指标</w:t>
      </w:r>
      <w:r>
        <w:rPr>
          <w:rFonts w:hint="eastAsia" w:ascii="黑体" w:hAnsi="黑体" w:eastAsia="黑体" w:cs="黑体"/>
          <w:b w:val="0"/>
          <w:bCs w:val="0"/>
          <w:sz w:val="32"/>
          <w:szCs w:val="32"/>
          <w:lang w:val="en-US" w:eastAsia="zh-CN"/>
        </w:rPr>
        <w:t>及资本构成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根据办法规定，本次需披露关键审慎监管指标及资本构成两张报表，具体如下：</w:t>
      </w:r>
    </w:p>
    <w:p>
      <w:pPr>
        <w:jc w:val="center"/>
        <w:rPr>
          <w:rFonts w:hint="eastAsia" w:ascii="楷体_GB2312" w:hAnsi="仿宋_GB2312" w:eastAsia="楷体_GB2312" w:cs="仿宋_GB2312"/>
          <w:b/>
          <w:sz w:val="28"/>
          <w:szCs w:val="28"/>
          <w:lang w:val="en-US" w:eastAsia="zh-CN"/>
        </w:rPr>
      </w:pPr>
      <w:r>
        <w:rPr>
          <w:rFonts w:hint="eastAsia" w:ascii="楷体_GB2312" w:hAnsi="仿宋_GB2312" w:eastAsia="楷体_GB2312" w:cs="仿宋_GB2312"/>
          <w:b/>
          <w:sz w:val="28"/>
          <w:szCs w:val="28"/>
          <w:lang w:val="en-US" w:eastAsia="zh-CN"/>
        </w:rPr>
        <w:t xml:space="preserve">附表1  </w:t>
      </w:r>
      <w:r>
        <w:rPr>
          <w:rFonts w:ascii="楷体_GB2312" w:hAnsi="仿宋_GB2312" w:eastAsia="楷体_GB2312" w:cs="仿宋_GB2312"/>
          <w:b/>
          <w:sz w:val="28"/>
          <w:szCs w:val="28"/>
        </w:rPr>
        <w:t>关键审慎监管指标</w:t>
      </w:r>
      <w:r>
        <w:rPr>
          <w:rFonts w:hint="eastAsia" w:ascii="楷体_GB2312" w:hAnsi="仿宋_GB2312" w:eastAsia="楷体_GB2312" w:cs="仿宋_GB2312"/>
          <w:b/>
          <w:sz w:val="28"/>
          <w:szCs w:val="28"/>
          <w:lang w:val="en-US" w:eastAsia="zh-CN"/>
        </w:rPr>
        <w:t xml:space="preserve">       </w:t>
      </w:r>
    </w:p>
    <w:p>
      <w:pPr>
        <w:jc w:val="center"/>
        <w:rPr>
          <w:rFonts w:hint="default" w:ascii="楷体_GB2312" w:hAnsi="仿宋_GB2312" w:eastAsia="楷体_GB2312" w:cs="仿宋_GB2312"/>
          <w:b/>
          <w:sz w:val="28"/>
          <w:szCs w:val="28"/>
          <w:lang w:val="en-US" w:eastAsia="zh-CN"/>
        </w:rPr>
      </w:pPr>
      <w:r>
        <w:rPr>
          <w:rFonts w:hint="eastAsia" w:ascii="楷体_GB2312" w:hAnsi="仿宋_GB2312" w:eastAsia="楷体_GB2312" w:cs="仿宋_GB2312"/>
          <w:b/>
          <w:sz w:val="28"/>
          <w:szCs w:val="28"/>
          <w:lang w:val="en-US" w:eastAsia="zh-CN"/>
        </w:rPr>
        <w:t xml:space="preserve">                                  </w:t>
      </w:r>
      <w:r>
        <w:rPr>
          <w:rFonts w:hint="eastAsia" w:ascii="楷体_GB2312" w:hAnsi="仿宋_GB2312" w:eastAsia="楷体_GB2312" w:cs="仿宋_GB2312"/>
          <w:b/>
          <w:sz w:val="24"/>
          <w:szCs w:val="24"/>
          <w:lang w:val="en-US" w:eastAsia="zh-CN"/>
        </w:rPr>
        <w:t>单位：人民币万元  %</w:t>
      </w:r>
    </w:p>
    <w:tbl>
      <w:tblPr>
        <w:tblStyle w:val="5"/>
        <w:tblW w:w="90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719"/>
        <w:gridCol w:w="1808"/>
        <w:gridCol w:w="17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17" w:type="dxa"/>
          </w:tcPr>
          <w:p>
            <w:pPr>
              <w:snapToGrid w:val="0"/>
              <w:spacing w:line="480" w:lineRule="exact"/>
              <w:rPr>
                <w:rFonts w:ascii="仿宋_GB2312" w:hAnsi="仿宋" w:eastAsia="仿宋_GB2312" w:cs="Arial Unicode MS"/>
                <w:color w:val="000000"/>
                <w:sz w:val="28"/>
                <w:szCs w:val="28"/>
              </w:rPr>
            </w:pP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　</w:t>
            </w:r>
          </w:p>
        </w:tc>
        <w:tc>
          <w:tcPr>
            <w:tcW w:w="1808" w:type="dxa"/>
            <w:vAlign w:val="center"/>
          </w:tcPr>
          <w:p>
            <w:pPr>
              <w:snapToGrid w:val="0"/>
              <w:spacing w:line="480" w:lineRule="exact"/>
              <w:jc w:val="center"/>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lang w:val="en-US" w:eastAsia="zh-CN"/>
              </w:rPr>
              <w:t>报告期末（</w:t>
            </w:r>
            <w:r>
              <w:rPr>
                <w:rFonts w:ascii="仿宋_GB2312" w:hAnsi="仿宋" w:eastAsia="仿宋_GB2312" w:cs="Arial Unicode MS"/>
                <w:color w:val="000000"/>
                <w:sz w:val="28"/>
                <w:szCs w:val="28"/>
              </w:rPr>
              <w:t>T</w:t>
            </w:r>
            <w:r>
              <w:rPr>
                <w:rFonts w:hint="eastAsia" w:ascii="仿宋_GB2312" w:hAnsi="仿宋" w:eastAsia="仿宋_GB2312" w:cs="Arial Unicode MS"/>
                <w:color w:val="000000"/>
                <w:sz w:val="28"/>
                <w:szCs w:val="28"/>
                <w:lang w:val="en-US" w:eastAsia="zh-CN"/>
              </w:rPr>
              <w:t>）</w:t>
            </w:r>
          </w:p>
        </w:tc>
        <w:tc>
          <w:tcPr>
            <w:tcW w:w="1702" w:type="dxa"/>
            <w:vAlign w:val="center"/>
          </w:tcPr>
          <w:p>
            <w:pPr>
              <w:snapToGrid w:val="0"/>
              <w:spacing w:line="480" w:lineRule="exact"/>
              <w:jc w:val="center"/>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lang w:val="en-US" w:eastAsia="zh-CN"/>
              </w:rPr>
              <w:t>上一期末（</w:t>
            </w:r>
            <w:r>
              <w:rPr>
                <w:rFonts w:ascii="仿宋_GB2312" w:hAnsi="仿宋" w:eastAsia="仿宋_GB2312" w:cs="Arial Unicode MS"/>
                <w:color w:val="000000"/>
                <w:sz w:val="28"/>
                <w:szCs w:val="28"/>
              </w:rPr>
              <w:t>T-1</w:t>
            </w:r>
            <w:r>
              <w:rPr>
                <w:rFonts w:hint="eastAsia" w:ascii="仿宋_GB2312" w:hAnsi="仿宋" w:eastAsia="仿宋_GB2312" w:cs="Arial Unicode MS"/>
                <w:color w:val="000000"/>
                <w:sz w:val="28"/>
                <w:szCs w:val="28"/>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000000"/>
                <w:sz w:val="28"/>
                <w:szCs w:val="28"/>
              </w:rPr>
            </w:pPr>
            <w:r>
              <w:rPr>
                <w:rFonts w:hint="eastAsia" w:ascii="仿宋_GB2312" w:hAnsi="仿宋" w:eastAsia="仿宋_GB2312" w:cs="Arial Unicode MS"/>
                <w:b/>
                <w:bCs/>
                <w:color w:val="000000"/>
                <w:sz w:val="28"/>
                <w:szCs w:val="28"/>
              </w:rPr>
              <w:t>可用资本（数额）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ascii="仿宋_GB2312" w:hAnsi="仿宋" w:eastAsia="仿宋_GB2312" w:cs="Arial Unicode MS"/>
                <w:color w:val="000000"/>
                <w:sz w:val="28"/>
                <w:szCs w:val="28"/>
              </w:rPr>
              <w:t>1</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核心一级资本净额</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123407.47</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124541.50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2</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资本净额</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135370.38</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136323.56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000000"/>
                <w:sz w:val="28"/>
                <w:szCs w:val="28"/>
              </w:rPr>
            </w:pPr>
            <w:r>
              <w:rPr>
                <w:rFonts w:hint="eastAsia" w:ascii="仿宋_GB2312" w:hAnsi="仿宋" w:eastAsia="仿宋_GB2312" w:cs="Arial Unicode MS"/>
                <w:b/>
                <w:bCs/>
                <w:color w:val="000000"/>
                <w:sz w:val="28"/>
                <w:szCs w:val="28"/>
              </w:rPr>
              <w:t>风险加权资产（数额）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3</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信用风险加权资产</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968995.63</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954346.93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4</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操作风险加权资产</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88012.5</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88013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5</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风险加权资产合计</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1057008.13</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1042359.93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000000"/>
                <w:sz w:val="28"/>
                <w:szCs w:val="28"/>
              </w:rPr>
            </w:pPr>
            <w:r>
              <w:rPr>
                <w:rFonts w:hint="eastAsia" w:ascii="仿宋_GB2312" w:hAnsi="仿宋" w:eastAsia="仿宋_GB2312" w:cs="Arial Unicode MS"/>
                <w:b/>
                <w:bCs/>
                <w:color w:val="000000"/>
                <w:sz w:val="28"/>
                <w:szCs w:val="28"/>
              </w:rPr>
              <w:t>资本充足率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7" w:type="dxa"/>
            <w:tcBorders>
              <w:left w:val="nil"/>
            </w:tcBorders>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6</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核心一级资本充足率（</w:t>
            </w:r>
            <w:r>
              <w:rPr>
                <w:rFonts w:ascii="仿宋_GB2312" w:hAnsi="仿宋" w:eastAsia="仿宋_GB2312" w:cs="Arial Unicode MS"/>
                <w:color w:val="000000"/>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11.68</w:t>
            </w:r>
          </w:p>
        </w:tc>
        <w:tc>
          <w:tcPr>
            <w:tcW w:w="1702"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11.95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7</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资本充足率（</w:t>
            </w:r>
            <w:r>
              <w:rPr>
                <w:rFonts w:ascii="仿宋_GB2312" w:hAnsi="仿宋" w:eastAsia="仿宋_GB2312" w:cs="Arial Unicode MS"/>
                <w:color w:val="000000"/>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12.81</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13.08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000000"/>
                <w:sz w:val="28"/>
                <w:szCs w:val="28"/>
              </w:rPr>
            </w:pPr>
            <w:r>
              <w:rPr>
                <w:rFonts w:hint="eastAsia" w:ascii="仿宋_GB2312" w:hAnsi="仿宋" w:eastAsia="仿宋_GB2312" w:cs="Arial Unicode MS"/>
                <w:b/>
                <w:bCs/>
                <w:color w:val="000000"/>
                <w:sz w:val="28"/>
                <w:szCs w:val="28"/>
              </w:rPr>
              <w:t>杠杆率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8</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调整后表内外资产余额</w:t>
            </w:r>
          </w:p>
        </w:tc>
        <w:tc>
          <w:tcPr>
            <w:tcW w:w="1808" w:type="dxa"/>
            <w:vAlign w:val="center"/>
          </w:tcPr>
          <w:p>
            <w:pPr>
              <w:snapToGrid w:val="0"/>
              <w:spacing w:line="480" w:lineRule="exact"/>
              <w:jc w:val="center"/>
              <w:rPr>
                <w:rFonts w:hint="eastAsia"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1858766.49</w:t>
            </w:r>
          </w:p>
        </w:tc>
        <w:tc>
          <w:tcPr>
            <w:tcW w:w="1702" w:type="dxa"/>
            <w:vAlign w:val="center"/>
          </w:tcPr>
          <w:p>
            <w:pPr>
              <w:snapToGrid w:val="0"/>
              <w:spacing w:line="480" w:lineRule="exact"/>
              <w:jc w:val="center"/>
              <w:rPr>
                <w:rFonts w:hint="eastAsia"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1846790.81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9</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_GB2312" w:eastAsia="仿宋_GB2312" w:cs="仿宋_GB2312"/>
                <w:color w:val="000000"/>
                <w:sz w:val="28"/>
                <w:szCs w:val="28"/>
              </w:rPr>
              <w:t>杠杆率</w:t>
            </w:r>
            <w:r>
              <w:rPr>
                <w:rFonts w:hint="eastAsia" w:ascii="仿宋_GB2312" w:hAnsi="仿宋" w:eastAsia="仿宋_GB2312" w:cs="Arial Unicode MS"/>
                <w:color w:val="000000"/>
                <w:sz w:val="28"/>
                <w:szCs w:val="28"/>
              </w:rPr>
              <w:t>（</w:t>
            </w:r>
            <w:r>
              <w:rPr>
                <w:rFonts w:ascii="仿宋_GB2312" w:hAnsi="仿宋" w:eastAsia="仿宋_GB2312" w:cs="Arial Unicode MS"/>
                <w:color w:val="000000"/>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6.64</w:t>
            </w:r>
          </w:p>
        </w:tc>
        <w:tc>
          <w:tcPr>
            <w:tcW w:w="1702" w:type="dxa"/>
            <w:vAlign w:val="center"/>
          </w:tcPr>
          <w:p>
            <w:pPr>
              <w:snapToGrid w:val="0"/>
              <w:spacing w:line="480" w:lineRule="exact"/>
              <w:jc w:val="center"/>
              <w:rPr>
                <w:rFonts w:hint="default" w:ascii="仿宋_GB2312" w:hAnsi="仿宋" w:eastAsia="仿宋_GB2312" w:cs="Arial Unicode MS"/>
                <w:color w:val="808080" w:themeColor="text1" w:themeTint="80"/>
                <w:sz w:val="28"/>
                <w:szCs w:val="28"/>
                <w:lang w:val="en-US" w:eastAsia="zh-CN"/>
                <w14:textFill>
                  <w14:solidFill>
                    <w14:schemeClr w14:val="tx1">
                      <w14:lumMod w14:val="50000"/>
                      <w14:lumOff w14:val="50000"/>
                    </w14:schemeClr>
                  </w14:solidFill>
                </w14:textFill>
              </w:rPr>
            </w:pPr>
            <w:r>
              <w:rPr>
                <w:rFonts w:hint="eastAsia" w:ascii="仿宋_GB2312" w:hAnsi="仿宋" w:eastAsia="仿宋_GB2312" w:cs="Arial Unicode MS"/>
                <w:color w:val="000000"/>
                <w:sz w:val="28"/>
                <w:szCs w:val="28"/>
                <w:lang w:val="en-US" w:eastAsia="zh-CN"/>
              </w:rPr>
              <w:t>6.74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10</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_GB2312" w:eastAsia="仿宋_GB2312" w:cs="仿宋_GB2312"/>
                <w:color w:val="000000"/>
                <w:sz w:val="28"/>
                <w:szCs w:val="28"/>
              </w:rPr>
              <w:t>杠杆率a</w:t>
            </w:r>
            <w:r>
              <w:rPr>
                <w:rFonts w:hint="eastAsia" w:ascii="仿宋_GB2312" w:hAnsi="仿宋" w:eastAsia="仿宋_GB2312" w:cs="Arial Unicode MS"/>
                <w:color w:val="000000"/>
                <w:sz w:val="28"/>
                <w:szCs w:val="28"/>
              </w:rPr>
              <w:t>（</w:t>
            </w:r>
            <w:r>
              <w:rPr>
                <w:rFonts w:ascii="仿宋_GB2312" w:hAnsi="仿宋" w:eastAsia="仿宋_GB2312" w:cs="Arial Unicode MS"/>
                <w:color w:val="000000"/>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6.64</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6.74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000000"/>
                <w:sz w:val="28"/>
                <w:szCs w:val="28"/>
              </w:rPr>
            </w:pPr>
            <w:r>
              <w:rPr>
                <w:rFonts w:hint="eastAsia" w:ascii="仿宋_GB2312" w:hAnsi="仿宋" w:eastAsia="仿宋_GB2312" w:cs="Arial Unicode MS"/>
                <w:b/>
                <w:bCs/>
                <w:color w:val="000000"/>
                <w:sz w:val="28"/>
                <w:szCs w:val="28"/>
              </w:rPr>
              <w:t>流动性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11</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优质流动性资产充足率（</w:t>
            </w:r>
            <w:r>
              <w:rPr>
                <w:rFonts w:ascii="仿宋_GB2312" w:hAnsi="仿宋" w:eastAsia="仿宋_GB2312" w:cs="Arial Unicode MS"/>
                <w:color w:val="000000"/>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287.79</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328.88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12</w:t>
            </w:r>
          </w:p>
        </w:tc>
        <w:tc>
          <w:tcPr>
            <w:tcW w:w="4719" w:type="dxa"/>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流动性比例（</w:t>
            </w:r>
            <w:r>
              <w:rPr>
                <w:rFonts w:ascii="仿宋_GB2312" w:hAnsi="仿宋" w:eastAsia="仿宋_GB2312" w:cs="Arial Unicode MS"/>
                <w:color w:val="000000"/>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47.30</w:t>
            </w:r>
          </w:p>
        </w:tc>
        <w:tc>
          <w:tcPr>
            <w:tcW w:w="1702" w:type="dxa"/>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55.03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shd w:val="clear" w:color="auto" w:fill="FFFFFF"/>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13</w:t>
            </w:r>
          </w:p>
        </w:tc>
        <w:tc>
          <w:tcPr>
            <w:tcW w:w="4719" w:type="dxa"/>
            <w:shd w:val="clear" w:color="auto" w:fill="FFFFFF"/>
            <w:vAlign w:val="center"/>
          </w:tcPr>
          <w:p>
            <w:pPr>
              <w:snapToGrid w:val="0"/>
              <w:spacing w:line="480" w:lineRule="exact"/>
              <w:rPr>
                <w:rFonts w:ascii="仿宋_GB2312" w:hAnsi="仿宋" w:eastAsia="仿宋_GB2312" w:cs="Arial Unicode MS"/>
                <w:color w:val="000000"/>
                <w:sz w:val="28"/>
                <w:szCs w:val="28"/>
              </w:rPr>
            </w:pPr>
            <w:r>
              <w:rPr>
                <w:rFonts w:hint="eastAsia" w:ascii="仿宋_GB2312" w:hAnsi="仿宋" w:eastAsia="仿宋_GB2312" w:cs="Arial Unicode MS"/>
                <w:color w:val="000000"/>
                <w:sz w:val="28"/>
                <w:szCs w:val="28"/>
              </w:rPr>
              <w:t>流动性匹配率（</w:t>
            </w:r>
            <w:r>
              <w:rPr>
                <w:rFonts w:ascii="仿宋_GB2312" w:hAnsi="仿宋" w:eastAsia="仿宋_GB2312" w:cs="Arial Unicode MS"/>
                <w:color w:val="000000"/>
                <w:sz w:val="28"/>
                <w:szCs w:val="28"/>
              </w:rPr>
              <w:t>%）</w:t>
            </w:r>
          </w:p>
        </w:tc>
        <w:tc>
          <w:tcPr>
            <w:tcW w:w="1808" w:type="dxa"/>
            <w:shd w:val="clear" w:color="auto" w:fill="FFFFFF"/>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159.56</w:t>
            </w:r>
          </w:p>
        </w:tc>
        <w:tc>
          <w:tcPr>
            <w:tcW w:w="1702" w:type="dxa"/>
            <w:shd w:val="clear" w:color="auto" w:fill="FFFFFF"/>
            <w:vAlign w:val="center"/>
          </w:tcPr>
          <w:p>
            <w:pPr>
              <w:snapToGrid w:val="0"/>
              <w:spacing w:line="480" w:lineRule="exact"/>
              <w:jc w:val="center"/>
              <w:rPr>
                <w:rFonts w:hint="default" w:ascii="仿宋_GB2312" w:hAnsi="仿宋" w:eastAsia="仿宋_GB2312" w:cs="Arial Unicode MS"/>
                <w:color w:val="000000"/>
                <w:sz w:val="28"/>
                <w:szCs w:val="28"/>
                <w:lang w:val="en-US" w:eastAsia="zh-CN"/>
              </w:rPr>
            </w:pPr>
            <w:r>
              <w:rPr>
                <w:rFonts w:hint="eastAsia" w:ascii="仿宋_GB2312" w:hAnsi="仿宋" w:eastAsia="仿宋_GB2312" w:cs="Arial Unicode MS"/>
                <w:color w:val="000000"/>
                <w:sz w:val="28"/>
                <w:szCs w:val="28"/>
                <w:lang w:val="en-US" w:eastAsia="zh-CN"/>
              </w:rPr>
              <w:t>157.07</w:t>
            </w:r>
          </w:p>
        </w:tc>
      </w:tr>
    </w:tbl>
    <w:p>
      <w:pPr>
        <w:snapToGrid w:val="0"/>
        <w:spacing w:line="480" w:lineRule="exact"/>
        <w:rPr>
          <w:rFonts w:ascii="仿宋_GB2312" w:hAnsi="仿宋_GB2312" w:eastAsia="仿宋_GB2312" w:cs="仿宋_GB2312"/>
          <w:b/>
          <w:color w:val="000000"/>
          <w:sz w:val="28"/>
          <w:szCs w:val="28"/>
        </w:rPr>
      </w:pPr>
    </w:p>
    <w:p>
      <w:pPr>
        <w:ind w:firstLine="3092" w:firstLineChars="1100"/>
        <w:jc w:val="both"/>
        <w:rPr>
          <w:rFonts w:hint="eastAsia"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 xml:space="preserve">附表2  </w:t>
      </w:r>
      <w:r>
        <w:rPr>
          <w:rFonts w:hint="eastAsia" w:ascii="楷体_GB2312" w:hAnsi="楷体_GB2312" w:eastAsia="楷体_GB2312" w:cs="楷体_GB2312"/>
          <w:b/>
          <w:bCs/>
          <w:color w:val="000000"/>
          <w:sz w:val="28"/>
          <w:szCs w:val="28"/>
        </w:rPr>
        <w:t>资本构成</w:t>
      </w:r>
    </w:p>
    <w:p>
      <w:pPr>
        <w:jc w:val="center"/>
        <w:rPr>
          <w:rFonts w:hint="default"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8"/>
          <w:szCs w:val="28"/>
          <w:lang w:val="en-US" w:eastAsia="zh-CN"/>
        </w:rPr>
        <w:t xml:space="preserve">                                 </w:t>
      </w:r>
      <w:r>
        <w:rPr>
          <w:rFonts w:hint="eastAsia" w:ascii="楷体_GB2312" w:hAnsi="楷体_GB2312" w:eastAsia="楷体_GB2312" w:cs="楷体_GB2312"/>
          <w:b/>
          <w:bCs/>
          <w:color w:val="000000"/>
          <w:sz w:val="24"/>
          <w:szCs w:val="24"/>
          <w:lang w:val="en-US" w:eastAsia="zh-CN"/>
        </w:rPr>
        <w:t>单位：人民币万元   %</w:t>
      </w:r>
    </w:p>
    <w:tbl>
      <w:tblPr>
        <w:tblStyle w:val="5"/>
        <w:tblW w:w="9203"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837"/>
        <w:gridCol w:w="17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15" w:type="dxa"/>
            <w:gridSpan w:val="2"/>
            <w:vAlign w:val="center"/>
          </w:tcPr>
          <w:p>
            <w:pPr>
              <w:spacing w:line="480" w:lineRule="exac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项目</w:t>
            </w:r>
          </w:p>
        </w:tc>
        <w:tc>
          <w:tcPr>
            <w:tcW w:w="1788" w:type="dxa"/>
            <w:vAlign w:val="center"/>
          </w:tcPr>
          <w:p>
            <w:pPr>
              <w:spacing w:line="480" w:lineRule="exac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p>
        </w:tc>
        <w:tc>
          <w:tcPr>
            <w:tcW w:w="6837" w:type="dxa"/>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实收资本和资本公积可计入部分</w:t>
            </w:r>
          </w:p>
        </w:tc>
        <w:tc>
          <w:tcPr>
            <w:tcW w:w="1788" w:type="dxa"/>
            <w:vAlign w:val="center"/>
          </w:tcPr>
          <w:p>
            <w:pPr>
              <w:keepNext w:val="0"/>
              <w:keepLines w:val="0"/>
              <w:widowControl/>
              <w:suppressLineNumbers w:val="0"/>
              <w:jc w:val="left"/>
              <w:textAlignment w:val="center"/>
              <w:rPr>
                <w:rFonts w:ascii="仿宋_GB2312" w:hAnsi="仿宋_GB2312" w:eastAsia="仿宋_GB2312" w:cs="仿宋_GB2312"/>
                <w:color w:val="000000"/>
                <w:sz w:val="28"/>
                <w:szCs w:val="28"/>
                <w:lang w:val="en-US"/>
              </w:rPr>
            </w:pPr>
            <w:r>
              <w:rPr>
                <w:rFonts w:hint="eastAsia" w:ascii="仿宋_GB2312" w:hAnsi="仿宋_GB2312" w:eastAsia="仿宋_GB2312" w:cs="仿宋_GB2312"/>
                <w:i w:val="0"/>
                <w:color w:val="000000"/>
                <w:kern w:val="0"/>
                <w:sz w:val="28"/>
                <w:szCs w:val="28"/>
                <w:u w:val="none"/>
                <w:lang w:val="en-US" w:eastAsia="zh-CN" w:bidi="ar"/>
              </w:rPr>
              <w:t>471760.52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6837" w:type="dxa"/>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TW"/>
              </w:rPr>
              <w:t>留存收益</w:t>
            </w:r>
          </w:p>
        </w:tc>
        <w:tc>
          <w:tcPr>
            <w:tcW w:w="1788" w:type="dxa"/>
            <w:vAlign w:val="center"/>
          </w:tcPr>
          <w:p>
            <w:pPr>
              <w:spacing w:line="480" w:lineRule="exact"/>
              <w:jc w:val="both"/>
              <w:rPr>
                <w:rFonts w:hint="eastAsia" w:ascii="仿宋_GB2312" w:hAnsi="仿宋_GB2312" w:eastAsia="仿宋_GB2312" w:cs="仿宋_GB2312"/>
                <w:color w:val="000000"/>
                <w:sz w:val="28"/>
                <w:szCs w:val="28"/>
                <w:highlight w:val="green"/>
                <w:lang w:val="en-US" w:eastAsia="zh-CN"/>
              </w:rPr>
            </w:pPr>
            <w:r>
              <w:rPr>
                <w:rFonts w:hint="eastAsia" w:ascii="仿宋_GB2312" w:hAnsi="仿宋_GB2312" w:eastAsia="仿宋_GB2312" w:cs="仿宋_GB2312"/>
                <w:color w:val="000000"/>
                <w:sz w:val="28"/>
                <w:szCs w:val="28"/>
                <w:highlight w:val="none"/>
                <w:lang w:val="en-US" w:eastAsia="zh-CN"/>
              </w:rPr>
              <w:t>80618.39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2a</w:t>
            </w:r>
          </w:p>
        </w:tc>
        <w:tc>
          <w:tcPr>
            <w:tcW w:w="6837" w:type="dxa"/>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盈余公积</w:t>
            </w:r>
          </w:p>
        </w:tc>
        <w:tc>
          <w:tcPr>
            <w:tcW w:w="1788" w:type="dxa"/>
            <w:vAlign w:val="center"/>
          </w:tcPr>
          <w:p>
            <w:pPr>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21757.38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578" w:type="dxa"/>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2b</w:t>
            </w:r>
          </w:p>
        </w:tc>
        <w:tc>
          <w:tcPr>
            <w:tcW w:w="6837" w:type="dxa"/>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一般风险准备</w:t>
            </w:r>
          </w:p>
        </w:tc>
        <w:tc>
          <w:tcPr>
            <w:tcW w:w="1788" w:type="dxa"/>
            <w:vAlign w:val="center"/>
          </w:tcPr>
          <w:p>
            <w:pPr>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27000.07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578" w:type="dxa"/>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2c</w:t>
            </w:r>
          </w:p>
        </w:tc>
        <w:tc>
          <w:tcPr>
            <w:tcW w:w="6837" w:type="dxa"/>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未分配利润</w:t>
            </w:r>
          </w:p>
        </w:tc>
        <w:tc>
          <w:tcPr>
            <w:tcW w:w="1788" w:type="dxa"/>
            <w:vAlign w:val="center"/>
          </w:tcPr>
          <w:p>
            <w:pPr>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31860.94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p>
        </w:tc>
        <w:tc>
          <w:tcPr>
            <w:tcW w:w="6837" w:type="dxa"/>
            <w:shd w:val="clear" w:color="auto" w:fill="FFFFFF"/>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累计其他综合收益</w:t>
            </w:r>
          </w:p>
        </w:tc>
        <w:tc>
          <w:tcPr>
            <w:tcW w:w="1788" w:type="dxa"/>
            <w:shd w:val="clear" w:color="auto" w:fill="FFFFFF"/>
            <w:vAlign w:val="center"/>
          </w:tcPr>
          <w:p>
            <w:pPr>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1468.02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p>
        </w:tc>
        <w:tc>
          <w:tcPr>
            <w:tcW w:w="6837" w:type="dxa"/>
            <w:shd w:val="clear" w:color="auto" w:fill="FFFFFF"/>
            <w:vAlign w:val="center"/>
          </w:tcPr>
          <w:p>
            <w:pPr>
              <w:spacing w:line="480" w:lineRule="exact"/>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监管调整前的核心一级资本</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123846.93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p>
        </w:tc>
        <w:tc>
          <w:tcPr>
            <w:tcW w:w="6837" w:type="dxa"/>
            <w:shd w:val="clear" w:color="auto" w:fill="FFFFFF"/>
            <w:vAlign w:val="center"/>
          </w:tcPr>
          <w:p>
            <w:pPr>
              <w:keepNext w:val="0"/>
              <w:keepLines w:val="0"/>
              <w:widowControl/>
              <w:suppressLineNumbers w:val="0"/>
              <w:jc w:val="left"/>
              <w:textAlignment w:val="center"/>
              <w:rPr>
                <w:rFonts w:ascii="仿宋_GB2312" w:hAnsi="仿宋_GB2312" w:eastAsia="仿宋_GB2312" w:cs="仿宋_GB2312"/>
                <w:color w:val="000000"/>
                <w:sz w:val="28"/>
                <w:szCs w:val="28"/>
              </w:rPr>
            </w:pPr>
            <w:r>
              <w:rPr>
                <w:rStyle w:val="7"/>
                <w:rFonts w:hint="eastAsia" w:ascii="仿宋_GB2312" w:hAnsi="仿宋_GB2312" w:eastAsia="仿宋_GB2312" w:cs="仿宋_GB2312"/>
                <w:sz w:val="28"/>
                <w:szCs w:val="28"/>
                <w:lang w:val="en-US" w:eastAsia="zh-CN" w:bidi="ar"/>
              </w:rPr>
              <w:t>商誉扣减与之相关的递延税负债后的净额</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p>
        </w:tc>
        <w:tc>
          <w:tcPr>
            <w:tcW w:w="6837" w:type="dxa"/>
            <w:shd w:val="clear" w:color="auto" w:fill="FFFFFF"/>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其他无形资产（土地使用权除外）（扣除递延税负债）</w:t>
            </w:r>
          </w:p>
        </w:tc>
        <w:tc>
          <w:tcPr>
            <w:tcW w:w="1788" w:type="dxa"/>
            <w:shd w:val="clear" w:color="auto" w:fill="FFFFFF"/>
            <w:vAlign w:val="center"/>
          </w:tcPr>
          <w:p>
            <w:pPr>
              <w:spacing w:line="480" w:lineRule="exact"/>
              <w:jc w:val="lef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439.46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p>
        </w:tc>
        <w:tc>
          <w:tcPr>
            <w:tcW w:w="6837" w:type="dxa"/>
            <w:shd w:val="clear" w:color="auto" w:fill="FFFFFF"/>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TW"/>
              </w:rPr>
              <w:t>依赖未来盈利的由经营亏损引起的净递延税资产</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p>
        </w:tc>
        <w:tc>
          <w:tcPr>
            <w:tcW w:w="6837" w:type="dxa"/>
            <w:shd w:val="clear" w:color="auto" w:fill="FFFFFF"/>
            <w:vAlign w:val="center"/>
          </w:tcPr>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TW"/>
              </w:rPr>
              <w:t>损失准备缺口</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w:t>
            </w:r>
          </w:p>
        </w:tc>
        <w:tc>
          <w:tcPr>
            <w:tcW w:w="6837" w:type="dxa"/>
            <w:shd w:val="clear" w:color="auto" w:fill="FFFFFF"/>
            <w:vAlign w:val="top"/>
          </w:tcPr>
          <w:p>
            <w:pPr>
              <w:spacing w:beforeLines="0" w:afterLines="0"/>
              <w:jc w:val="lef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资产证券化销售利得</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6837" w:type="dxa"/>
            <w:shd w:val="clear" w:color="auto" w:fill="FFFFFF"/>
            <w:vAlign w:val="top"/>
          </w:tcPr>
          <w:p>
            <w:pPr>
              <w:spacing w:line="480" w:lineRule="exac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确定受益类的养老金资产扣减与之相关的递延税负债后的净额</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11</w:t>
            </w:r>
          </w:p>
        </w:tc>
        <w:tc>
          <w:tcPr>
            <w:tcW w:w="6837" w:type="dxa"/>
            <w:shd w:val="clear" w:color="auto" w:fill="FFFFFF"/>
            <w:vAlign w:val="top"/>
          </w:tcPr>
          <w:p>
            <w:pPr>
              <w:spacing w:line="480" w:lineRule="exac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直接或间接持有本银行的普通股</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w:t>
            </w:r>
          </w:p>
        </w:tc>
        <w:tc>
          <w:tcPr>
            <w:tcW w:w="6837" w:type="dxa"/>
            <w:shd w:val="clear" w:color="auto" w:fill="FFFFFF"/>
            <w:vAlign w:val="top"/>
          </w:tcPr>
          <w:p>
            <w:pPr>
              <w:spacing w:line="480" w:lineRule="exac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对未按公允价值计量的项目进行现金流套期形成的储备</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w:t>
            </w:r>
          </w:p>
        </w:tc>
        <w:tc>
          <w:tcPr>
            <w:tcW w:w="6837" w:type="dxa"/>
            <w:shd w:val="clear" w:color="auto" w:fill="FFFFFF"/>
            <w:vAlign w:val="top"/>
          </w:tcPr>
          <w:p>
            <w:pPr>
              <w:spacing w:line="480" w:lineRule="exac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自身信用风险变化导致其负债公允价值变化带来的未实现损益</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14</w:t>
            </w:r>
          </w:p>
        </w:tc>
        <w:tc>
          <w:tcPr>
            <w:tcW w:w="6837" w:type="dxa"/>
            <w:shd w:val="clear" w:color="auto" w:fill="FFFFFF"/>
            <w:vAlign w:val="top"/>
          </w:tcPr>
          <w:p>
            <w:pPr>
              <w:spacing w:line="480" w:lineRule="exac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金融机构间通过协议相互持有的核心一级资本</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w:t>
            </w:r>
          </w:p>
        </w:tc>
        <w:tc>
          <w:tcPr>
            <w:tcW w:w="6837" w:type="dxa"/>
            <w:shd w:val="clear" w:color="auto" w:fill="FFFFFF"/>
            <w:vAlign w:val="top"/>
          </w:tcPr>
          <w:p>
            <w:pPr>
              <w:spacing w:line="480" w:lineRule="exac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对有控制权但不并表的金融机构的核心一级资本投资</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16</w:t>
            </w:r>
          </w:p>
        </w:tc>
        <w:tc>
          <w:tcPr>
            <w:tcW w:w="6837" w:type="dxa"/>
            <w:shd w:val="clear" w:color="auto" w:fill="FFFFFF"/>
            <w:vAlign w:val="top"/>
          </w:tcPr>
          <w:p>
            <w:pPr>
              <w:spacing w:line="480" w:lineRule="exac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有控制权但不并表的金融机构的核心一级资本缺口</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17</w:t>
            </w:r>
          </w:p>
        </w:tc>
        <w:tc>
          <w:tcPr>
            <w:tcW w:w="6837" w:type="dxa"/>
            <w:shd w:val="clear" w:color="auto" w:fill="FFFFFF"/>
            <w:vAlign w:val="top"/>
          </w:tcPr>
          <w:p>
            <w:pPr>
              <w:spacing w:line="480" w:lineRule="exact"/>
              <w:rPr>
                <w:rFonts w:hint="eastAsia" w:ascii="仿宋_GB2312" w:hAnsi="仿宋_GB2312" w:eastAsia="仿宋_GB2312" w:cs="仿宋_GB2312"/>
                <w:color w:val="000000"/>
                <w:sz w:val="28"/>
                <w:szCs w:val="28"/>
                <w:lang w:eastAsia="zh-TW"/>
              </w:rPr>
            </w:pPr>
            <w:r>
              <w:rPr>
                <w:rFonts w:hint="default" w:ascii="仿宋_GB2312" w:hAnsi="仿宋_GB2312" w:eastAsia="仿宋_GB2312" w:cs="仿宋_GB2312"/>
                <w:color w:val="000000"/>
                <w:sz w:val="28"/>
                <w:szCs w:val="28"/>
                <w:lang w:eastAsia="zh-TW"/>
              </w:rPr>
              <w:t>审慎估值调整</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18</w:t>
            </w:r>
          </w:p>
        </w:tc>
        <w:tc>
          <w:tcPr>
            <w:tcW w:w="6837"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核心一级资本监管扣除项目合计</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439.46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19</w:t>
            </w:r>
          </w:p>
        </w:tc>
        <w:tc>
          <w:tcPr>
            <w:tcW w:w="6837" w:type="dxa"/>
            <w:shd w:val="clear" w:color="auto" w:fill="FFFFFF"/>
            <w:vAlign w:val="center"/>
          </w:tcPr>
          <w:p>
            <w:pPr>
              <w:spacing w:line="480" w:lineRule="exact"/>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核心一级资本监管调整总和</w:t>
            </w:r>
          </w:p>
        </w:tc>
        <w:tc>
          <w:tcPr>
            <w:tcW w:w="1788"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123407.47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20</w:t>
            </w:r>
          </w:p>
        </w:tc>
        <w:tc>
          <w:tcPr>
            <w:tcW w:w="6837" w:type="dxa"/>
            <w:shd w:val="clear" w:color="auto" w:fill="FFFFFF"/>
            <w:vAlign w:val="center"/>
          </w:tcPr>
          <w:p>
            <w:pPr>
              <w:spacing w:line="480" w:lineRule="exact"/>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核心一级资本净额</w:t>
            </w:r>
          </w:p>
        </w:tc>
        <w:tc>
          <w:tcPr>
            <w:tcW w:w="1788"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123407.47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21</w:t>
            </w:r>
          </w:p>
        </w:tc>
        <w:tc>
          <w:tcPr>
            <w:tcW w:w="6837" w:type="dxa"/>
            <w:shd w:val="clear" w:color="auto" w:fill="FFFFFF"/>
            <w:vAlign w:val="center"/>
          </w:tcPr>
          <w:p>
            <w:pPr>
              <w:spacing w:line="480" w:lineRule="exact"/>
              <w:rPr>
                <w:rFonts w:hint="eastAsia" w:ascii="仿宋_GB2312" w:hAnsi="仿宋_GB2312" w:eastAsia="仿宋_GB2312" w:cs="仿宋_GB2312"/>
                <w:color w:val="000000"/>
                <w:sz w:val="28"/>
                <w:szCs w:val="28"/>
                <w:lang w:val="en-US" w:eastAsia="zh-CN"/>
              </w:rPr>
            </w:pPr>
            <w:r>
              <w:rPr>
                <w:rFonts w:hint="eastAsia" w:ascii="仿宋_GB2312" w:hAnsi="宋体" w:eastAsia="仿宋_GB2312" w:cs="宋体"/>
                <w:b/>
                <w:bCs/>
                <w:color w:val="000000" w:themeColor="text1"/>
                <w:sz w:val="28"/>
                <w:szCs w:val="28"/>
                <w14:textFill>
                  <w14:solidFill>
                    <w14:schemeClr w14:val="tx1"/>
                  </w14:solidFill>
                </w14:textFill>
              </w:rPr>
              <w:t>监管调整前的其他资本</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21a</w:t>
            </w:r>
          </w:p>
        </w:tc>
        <w:tc>
          <w:tcPr>
            <w:tcW w:w="6837" w:type="dxa"/>
            <w:shd w:val="clear" w:color="auto" w:fill="FFFFFF"/>
            <w:vAlign w:val="center"/>
          </w:tcPr>
          <w:p>
            <w:pPr>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其他一级资本</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22</w:t>
            </w:r>
          </w:p>
        </w:tc>
        <w:tc>
          <w:tcPr>
            <w:tcW w:w="6837" w:type="dxa"/>
            <w:shd w:val="clear" w:color="auto" w:fill="FFFFFF"/>
            <w:vAlign w:val="center"/>
          </w:tcPr>
          <w:p>
            <w:pPr>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其他一级资本监管扣除项目合计</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23</w:t>
            </w:r>
          </w:p>
        </w:tc>
        <w:tc>
          <w:tcPr>
            <w:tcW w:w="6837"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宋体" w:eastAsia="仿宋_GB2312" w:cs="宋体"/>
                <w:b/>
                <w:bCs/>
                <w:color w:val="000000" w:themeColor="text1"/>
                <w:sz w:val="28"/>
                <w:szCs w:val="28"/>
                <w14:textFill>
                  <w14:solidFill>
                    <w14:schemeClr w14:val="tx1"/>
                  </w14:solidFill>
                </w14:textFill>
              </w:rPr>
              <w:t>其他资本监管调整总和</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24</w:t>
            </w:r>
          </w:p>
        </w:tc>
        <w:tc>
          <w:tcPr>
            <w:tcW w:w="6837"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宋体" w:eastAsia="仿宋_GB2312" w:cs="宋体"/>
                <w:b/>
                <w:bCs/>
                <w:color w:val="000000" w:themeColor="text1"/>
                <w:sz w:val="28"/>
                <w:szCs w:val="28"/>
                <w14:textFill>
                  <w14:solidFill>
                    <w14:schemeClr w14:val="tx1"/>
                  </w14:solidFill>
                </w14:textFill>
              </w:rPr>
              <w:t>其他资本净额</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25</w:t>
            </w:r>
          </w:p>
        </w:tc>
        <w:tc>
          <w:tcPr>
            <w:tcW w:w="6837"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监管调整前的二级资本</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11962.91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25a</w:t>
            </w:r>
          </w:p>
        </w:tc>
        <w:tc>
          <w:tcPr>
            <w:tcW w:w="6837" w:type="dxa"/>
            <w:shd w:val="clear" w:color="auto" w:fill="FFFFFF"/>
            <w:vAlign w:val="top"/>
          </w:tcPr>
          <w:p>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二级资本工具及其溢价可计入金额</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25b</w:t>
            </w:r>
          </w:p>
        </w:tc>
        <w:tc>
          <w:tcPr>
            <w:tcW w:w="6837" w:type="dxa"/>
            <w:shd w:val="clear" w:color="auto" w:fill="FFFFFF"/>
            <w:vAlign w:val="top"/>
          </w:tcPr>
          <w:p>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超额损失准备</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11962.91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25c</w:t>
            </w:r>
          </w:p>
        </w:tc>
        <w:tc>
          <w:tcPr>
            <w:tcW w:w="6837" w:type="dxa"/>
            <w:shd w:val="clear" w:color="auto" w:fill="FFFFFF"/>
            <w:vAlign w:val="top"/>
          </w:tcPr>
          <w:p>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少数股东资本可计入部分</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25d</w:t>
            </w:r>
          </w:p>
        </w:tc>
        <w:tc>
          <w:tcPr>
            <w:tcW w:w="6837" w:type="dxa"/>
            <w:shd w:val="clear" w:color="auto" w:fill="FFFFFF"/>
            <w:vAlign w:val="top"/>
          </w:tcPr>
          <w:p>
            <w:pPr>
              <w:spacing w:beforeLines="0" w:afterLines="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其他</w:t>
            </w:r>
          </w:p>
        </w:tc>
        <w:tc>
          <w:tcPr>
            <w:tcW w:w="1788" w:type="dxa"/>
            <w:shd w:val="clear" w:color="auto" w:fill="FFFFFF"/>
            <w:vAlign w:val="center"/>
          </w:tcPr>
          <w:p>
            <w:pPr>
              <w:spacing w:line="48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26</w:t>
            </w:r>
          </w:p>
        </w:tc>
        <w:tc>
          <w:tcPr>
            <w:tcW w:w="6837"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二级资本监管扣除项目合计</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27</w:t>
            </w:r>
          </w:p>
        </w:tc>
        <w:tc>
          <w:tcPr>
            <w:tcW w:w="6837" w:type="dxa"/>
            <w:shd w:val="clear" w:color="auto" w:fill="FFFFFF"/>
            <w:vAlign w:val="center"/>
          </w:tcPr>
          <w:p>
            <w:pPr>
              <w:spacing w:line="480" w:lineRule="exact"/>
              <w:rPr>
                <w:rFonts w:hint="eastAsia" w:ascii="仿宋_GB2312" w:hAnsi="宋体" w:eastAsia="仿宋_GB2312" w:cs="宋体"/>
                <w:b/>
                <w:bCs/>
                <w:color w:val="000000" w:themeColor="text1"/>
                <w:sz w:val="28"/>
                <w:szCs w:val="28"/>
                <w:lang w:val="en-US" w:eastAsia="zh-CN"/>
                <w14:textFill>
                  <w14:solidFill>
                    <w14:schemeClr w14:val="tx1"/>
                  </w14:solidFill>
                </w14:textFill>
              </w:rPr>
            </w:pPr>
            <w:r>
              <w:rPr>
                <w:rFonts w:hint="eastAsia" w:ascii="仿宋_GB2312" w:hAnsi="宋体" w:eastAsia="仿宋_GB2312" w:cs="宋体"/>
                <w:b/>
                <w:bCs/>
                <w:color w:val="000000" w:themeColor="text1"/>
                <w:sz w:val="28"/>
                <w:szCs w:val="28"/>
                <w:lang w:val="en-US" w:eastAsia="zh-CN"/>
                <w14:textFill>
                  <w14:solidFill>
                    <w14:schemeClr w14:val="tx1"/>
                  </w14:solidFill>
                </w14:textFill>
              </w:rPr>
              <w:t>二级资本监管调整总和</w:t>
            </w:r>
          </w:p>
        </w:tc>
        <w:tc>
          <w:tcPr>
            <w:tcW w:w="1788"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11962.91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28</w:t>
            </w:r>
          </w:p>
        </w:tc>
        <w:tc>
          <w:tcPr>
            <w:tcW w:w="6837" w:type="dxa"/>
            <w:shd w:val="clear" w:color="auto" w:fill="FFFFFF"/>
            <w:vAlign w:val="center"/>
          </w:tcPr>
          <w:p>
            <w:pPr>
              <w:spacing w:line="480" w:lineRule="exact"/>
              <w:rPr>
                <w:rFonts w:hint="eastAsia" w:ascii="仿宋_GB2312" w:hAnsi="宋体" w:eastAsia="仿宋_GB2312" w:cs="宋体"/>
                <w:b/>
                <w:bCs/>
                <w:color w:val="000000" w:themeColor="text1"/>
                <w:sz w:val="28"/>
                <w:szCs w:val="28"/>
                <w:lang w:val="en-US" w:eastAsia="zh-CN"/>
                <w14:textFill>
                  <w14:solidFill>
                    <w14:schemeClr w14:val="tx1"/>
                  </w14:solidFill>
                </w14:textFill>
              </w:rPr>
            </w:pPr>
            <w:r>
              <w:rPr>
                <w:rFonts w:hint="eastAsia" w:ascii="仿宋_GB2312" w:hAnsi="宋体" w:eastAsia="仿宋_GB2312" w:cs="宋体"/>
                <w:b/>
                <w:bCs/>
                <w:color w:val="000000" w:themeColor="text1"/>
                <w:sz w:val="28"/>
                <w:szCs w:val="28"/>
                <w:lang w:val="en-US" w:eastAsia="zh-CN"/>
                <w14:textFill>
                  <w14:solidFill>
                    <w14:schemeClr w14:val="tx1"/>
                  </w14:solidFill>
                </w14:textFill>
              </w:rPr>
              <w:t>二级资本净额</w:t>
            </w:r>
          </w:p>
        </w:tc>
        <w:tc>
          <w:tcPr>
            <w:tcW w:w="1788" w:type="dxa"/>
            <w:shd w:val="clear" w:color="auto" w:fill="FFFFFF"/>
            <w:vAlign w:val="center"/>
          </w:tcPr>
          <w:p>
            <w:pPr>
              <w:spacing w:line="48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11962.91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vAlign w:val="center"/>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29</w:t>
            </w:r>
          </w:p>
        </w:tc>
        <w:tc>
          <w:tcPr>
            <w:tcW w:w="6837" w:type="dxa"/>
            <w:vAlign w:val="center"/>
          </w:tcPr>
          <w:p>
            <w:pPr>
              <w:spacing w:line="480" w:lineRule="exact"/>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总资本净额</w:t>
            </w:r>
          </w:p>
        </w:tc>
        <w:tc>
          <w:tcPr>
            <w:tcW w:w="1788" w:type="dxa"/>
            <w:vAlign w:val="center"/>
          </w:tcPr>
          <w:p>
            <w:pPr>
              <w:spacing w:line="480" w:lineRule="exact"/>
              <w:jc w:val="both"/>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135370.38</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2025年10月14</w:t>
      </w:r>
      <w:bookmarkStart w:id="0" w:name="_GoBack"/>
      <w:bookmarkEnd w:id="0"/>
      <w:r>
        <w:rPr>
          <w:rFonts w:hint="eastAsia" w:ascii="仿宋_GB2312" w:hAnsi="仿宋_GB2312" w:eastAsia="仿宋_GB2312" w:cs="仿宋_GB2312"/>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1192"/>
    <w:multiLevelType w:val="singleLevel"/>
    <w:tmpl w:val="03A411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E7677"/>
    <w:rsid w:val="03F04891"/>
    <w:rsid w:val="040419D8"/>
    <w:rsid w:val="04AE35AB"/>
    <w:rsid w:val="0590412E"/>
    <w:rsid w:val="079B150A"/>
    <w:rsid w:val="08565FE5"/>
    <w:rsid w:val="092B097C"/>
    <w:rsid w:val="0CC91453"/>
    <w:rsid w:val="0E86433E"/>
    <w:rsid w:val="0E9870F3"/>
    <w:rsid w:val="0F27699D"/>
    <w:rsid w:val="0F653ACC"/>
    <w:rsid w:val="0FFA05BC"/>
    <w:rsid w:val="101F22CC"/>
    <w:rsid w:val="131A5C2D"/>
    <w:rsid w:val="134E4A4D"/>
    <w:rsid w:val="144053D9"/>
    <w:rsid w:val="14A66779"/>
    <w:rsid w:val="18176F06"/>
    <w:rsid w:val="1BF70AC5"/>
    <w:rsid w:val="1D3E3B26"/>
    <w:rsid w:val="1DEE3324"/>
    <w:rsid w:val="1F5C561A"/>
    <w:rsid w:val="204656D7"/>
    <w:rsid w:val="20E622EE"/>
    <w:rsid w:val="20F04E83"/>
    <w:rsid w:val="21CD035B"/>
    <w:rsid w:val="227F0BF5"/>
    <w:rsid w:val="2342327D"/>
    <w:rsid w:val="241862A8"/>
    <w:rsid w:val="245E4028"/>
    <w:rsid w:val="24B2373D"/>
    <w:rsid w:val="26341D7A"/>
    <w:rsid w:val="26E75B93"/>
    <w:rsid w:val="272F1F70"/>
    <w:rsid w:val="28CA01E6"/>
    <w:rsid w:val="2A667E21"/>
    <w:rsid w:val="2BC06394"/>
    <w:rsid w:val="2F2029A2"/>
    <w:rsid w:val="30730EA9"/>
    <w:rsid w:val="32366DE8"/>
    <w:rsid w:val="33B550C6"/>
    <w:rsid w:val="34CC0588"/>
    <w:rsid w:val="36084FC3"/>
    <w:rsid w:val="36975E45"/>
    <w:rsid w:val="380F48D6"/>
    <w:rsid w:val="387A6B78"/>
    <w:rsid w:val="39A9502D"/>
    <w:rsid w:val="3D521CBF"/>
    <w:rsid w:val="3E46121F"/>
    <w:rsid w:val="3E7E6922"/>
    <w:rsid w:val="3F04208B"/>
    <w:rsid w:val="40A85AAA"/>
    <w:rsid w:val="44AB144D"/>
    <w:rsid w:val="45610B5D"/>
    <w:rsid w:val="461B5EF6"/>
    <w:rsid w:val="486C66B3"/>
    <w:rsid w:val="49277494"/>
    <w:rsid w:val="4AEE51D0"/>
    <w:rsid w:val="4B3638B9"/>
    <w:rsid w:val="4DF36814"/>
    <w:rsid w:val="510D5E4E"/>
    <w:rsid w:val="5224518F"/>
    <w:rsid w:val="525D7689"/>
    <w:rsid w:val="53B058F5"/>
    <w:rsid w:val="542055BD"/>
    <w:rsid w:val="56012AA1"/>
    <w:rsid w:val="56DD53F8"/>
    <w:rsid w:val="59D575DA"/>
    <w:rsid w:val="5A9C2C06"/>
    <w:rsid w:val="5BE95F08"/>
    <w:rsid w:val="60614425"/>
    <w:rsid w:val="629118B4"/>
    <w:rsid w:val="62D245EC"/>
    <w:rsid w:val="634B31A8"/>
    <w:rsid w:val="64B078F1"/>
    <w:rsid w:val="659C0EE5"/>
    <w:rsid w:val="65A158B0"/>
    <w:rsid w:val="68CE55D7"/>
    <w:rsid w:val="690428EB"/>
    <w:rsid w:val="696E7404"/>
    <w:rsid w:val="6C4E0CA3"/>
    <w:rsid w:val="6DA30D8F"/>
    <w:rsid w:val="6DA8429F"/>
    <w:rsid w:val="6E8C6A3A"/>
    <w:rsid w:val="70432487"/>
    <w:rsid w:val="70E80BFB"/>
    <w:rsid w:val="72075733"/>
    <w:rsid w:val="729B22F6"/>
    <w:rsid w:val="7305742E"/>
    <w:rsid w:val="74202BB5"/>
    <w:rsid w:val="74A3232D"/>
    <w:rsid w:val="75A96845"/>
    <w:rsid w:val="761A1E2A"/>
    <w:rsid w:val="76E13DC0"/>
    <w:rsid w:val="78EF4740"/>
    <w:rsid w:val="79DA5BC9"/>
    <w:rsid w:val="79EF5D58"/>
    <w:rsid w:val="7B38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4"/>
    <w:qFormat/>
    <w:uiPriority w:val="0"/>
    <w:rPr>
      <w:rFonts w:hint="default" w:ascii="Times New Roman" w:hAnsi="Times New Roman" w:cs="Times New Roman"/>
      <w:color w:val="000000"/>
      <w:sz w:val="20"/>
      <w:szCs w:val="20"/>
      <w:u w:val="none"/>
    </w:rPr>
  </w:style>
  <w:style w:type="character" w:customStyle="1" w:styleId="7">
    <w:name w:val="font0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2025-10-14T08:20:52Z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