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D5E" w:rsidRDefault="00956D5E">
      <w:pPr>
        <w:spacing w:beforeLines="100" w:line="700" w:lineRule="exact"/>
        <w:ind w:firstLineChars="50" w:firstLine="140"/>
        <w:jc w:val="left"/>
        <w:rPr>
          <w:rFonts w:ascii="华文细黑" w:eastAsia="华文细黑" w:hAnsi="华文细黑" w:hint="eastAsia"/>
          <w:b/>
          <w:sz w:val="28"/>
          <w:szCs w:val="28"/>
          <w:u w:val="single"/>
        </w:rPr>
      </w:pPr>
      <w:r>
        <w:rPr>
          <w:rFonts w:ascii="宋体" w:hAnsi="宋体" w:cs="宋体"/>
          <w:kern w:val="0"/>
          <w:sz w:val="28"/>
          <w:szCs w:val="28"/>
        </w:rPr>
        <w:pict>
          <v:shapetype id="_x0000_t202" coordsize="21600,21600" o:spt="202" path="m,l,21600r21600,l21600,xe">
            <v:stroke joinstyle="miter"/>
            <v:path gradientshapeok="t" o:connecttype="rect"/>
          </v:shapetype>
          <v:shape id="Text Box 3" o:spid="_x0000_s1026" type="#_x0000_t202" style="position:absolute;left:0;text-align:left;margin-left:285pt;margin-top:-13.65pt;width:194.6pt;height:23.55pt;z-index:251658240">
            <v:textbox style="mso-fit-shape-to-text:t">
              <w:txbxContent>
                <w:p w:rsidR="00956D5E" w:rsidRDefault="00956D5E">
                  <w:pPr>
                    <w:rPr>
                      <w:rFonts w:ascii="华文宋体" w:eastAsia="华文宋体" w:hAnsi="华文宋体"/>
                      <w:b/>
                    </w:rPr>
                  </w:pPr>
                  <w:r>
                    <w:rPr>
                      <w:rFonts w:ascii="华文宋体" w:eastAsia="华文宋体" w:hAnsi="华文宋体" w:hint="eastAsia"/>
                      <w:b/>
                    </w:rPr>
                    <w:t>理财非存款、产品有风险、投资须谨慎</w:t>
                  </w:r>
                </w:p>
              </w:txbxContent>
            </v:textbox>
          </v:shape>
        </w:pict>
      </w:r>
      <w:r>
        <w:rPr>
          <w:rFonts w:ascii="宋体" w:hAnsi="宋体" w:cs="宋体" w:hint="eastAsia"/>
          <w:kern w:val="0"/>
          <w:sz w:val="28"/>
          <w:szCs w:val="28"/>
        </w:rPr>
        <w:t>产品名称及编号：</w:t>
      </w:r>
      <w:r>
        <w:rPr>
          <w:rFonts w:ascii="宋体" w:hAnsi="宋体" w:cs="宋体" w:hint="eastAsia"/>
          <w:kern w:val="0"/>
          <w:szCs w:val="21"/>
          <w:u w:val="single"/>
        </w:rPr>
        <w:t>百福理财禧临门系列</w:t>
      </w:r>
      <w:r w:rsidR="001E4CE2">
        <w:rPr>
          <w:rFonts w:ascii="宋体" w:hAnsi="宋体" w:cs="宋体" w:hint="eastAsia"/>
          <w:color w:val="FF0000"/>
          <w:kern w:val="0"/>
          <w:szCs w:val="21"/>
          <w:u w:val="single"/>
        </w:rPr>
        <w:t>CG15920150703002</w:t>
      </w:r>
      <w:r>
        <w:rPr>
          <w:rFonts w:ascii="宋体" w:hAnsi="宋体" w:cs="宋体" w:hint="eastAsia"/>
          <w:kern w:val="0"/>
          <w:szCs w:val="21"/>
          <w:u w:val="single"/>
        </w:rPr>
        <w:t>号</w:t>
      </w:r>
      <w:r>
        <w:rPr>
          <w:rFonts w:ascii="宋体" w:hAnsi="宋体" w:cs="宋体" w:hint="eastAsia"/>
          <w:kern w:val="0"/>
          <w:szCs w:val="21"/>
        </w:rPr>
        <w:t xml:space="preserve"> </w:t>
      </w:r>
      <w:r>
        <w:rPr>
          <w:rFonts w:ascii="宋体" w:hAnsi="宋体" w:cs="宋体" w:hint="eastAsia"/>
          <w:kern w:val="0"/>
          <w:sz w:val="28"/>
          <w:szCs w:val="28"/>
        </w:rPr>
        <w:t>协议书编号：</w:t>
      </w:r>
      <w:r>
        <w:rPr>
          <w:rFonts w:ascii="宋体" w:hAnsi="宋体" w:cs="宋体" w:hint="eastAsia"/>
          <w:kern w:val="0"/>
          <w:sz w:val="28"/>
          <w:szCs w:val="28"/>
          <w:u w:val="single"/>
        </w:rPr>
        <w:t xml:space="preserve">        </w:t>
      </w:r>
    </w:p>
    <w:p w:rsidR="00956D5E" w:rsidRDefault="00C66E10">
      <w:pPr>
        <w:spacing w:line="700" w:lineRule="exact"/>
        <w:ind w:firstLineChars="147" w:firstLine="531"/>
        <w:jc w:val="center"/>
        <w:rPr>
          <w:rFonts w:ascii="宋体" w:hAnsi="宋体" w:hint="eastAsia"/>
          <w:b/>
          <w:sz w:val="36"/>
          <w:szCs w:val="36"/>
        </w:rPr>
      </w:pPr>
      <w:r>
        <w:rPr>
          <w:rFonts w:ascii="宋体" w:hAnsi="宋体" w:hint="eastAsia"/>
          <w:b/>
          <w:noProof/>
          <w:sz w:val="36"/>
          <w:szCs w:val="36"/>
        </w:rPr>
        <w:drawing>
          <wp:anchor distT="0" distB="0" distL="114300" distR="114300" simplePos="0" relativeHeight="251657216" behindDoc="0" locked="0" layoutInCell="1" allowOverlap="1">
            <wp:simplePos x="0" y="0"/>
            <wp:positionH relativeFrom="column">
              <wp:posOffset>2179320</wp:posOffset>
            </wp:positionH>
            <wp:positionV relativeFrom="page">
              <wp:posOffset>1463675</wp:posOffset>
            </wp:positionV>
            <wp:extent cx="342900" cy="22987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7" cstate="print"/>
                    <a:srcRect/>
                    <a:stretch>
                      <a:fillRect/>
                    </a:stretch>
                  </pic:blipFill>
                  <pic:spPr bwMode="auto">
                    <a:xfrm>
                      <a:off x="0" y="0"/>
                      <a:ext cx="342900" cy="229870"/>
                    </a:xfrm>
                    <a:prstGeom prst="rect">
                      <a:avLst/>
                    </a:prstGeom>
                    <a:noFill/>
                    <a:ln w="9525">
                      <a:noFill/>
                      <a:miter lim="800000"/>
                      <a:headEnd/>
                      <a:tailEnd/>
                    </a:ln>
                  </pic:spPr>
                </pic:pic>
              </a:graphicData>
            </a:graphic>
          </wp:anchor>
        </w:drawing>
      </w:r>
      <w:r w:rsidR="00956D5E">
        <w:rPr>
          <w:rFonts w:ascii="宋体" w:hAnsi="宋体" w:hint="eastAsia"/>
          <w:b/>
          <w:sz w:val="36"/>
          <w:szCs w:val="36"/>
        </w:rPr>
        <w:t>产品说明书</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3"/>
      </w:tblGrid>
      <w:tr w:rsidR="00956D5E">
        <w:trPr>
          <w:trHeight w:val="11060"/>
          <w:jc w:val="center"/>
        </w:trPr>
        <w:tc>
          <w:tcPr>
            <w:tcW w:w="9073" w:type="dxa"/>
          </w:tcPr>
          <w:p w:rsidR="00956D5E" w:rsidRDefault="00956D5E">
            <w:pPr>
              <w:spacing w:beforeLines="50" w:line="200" w:lineRule="exact"/>
              <w:ind w:leftChars="-4" w:left="-8" w:firstLineChars="2" w:firstLine="6"/>
              <w:jc w:val="center"/>
              <w:rPr>
                <w:rFonts w:ascii="宋体" w:hAnsi="宋体" w:cs="宋体" w:hint="eastAsia"/>
                <w:b/>
                <w:kern w:val="0"/>
                <w:sz w:val="32"/>
                <w:szCs w:val="32"/>
              </w:rPr>
            </w:pPr>
          </w:p>
          <w:p w:rsidR="00956D5E" w:rsidRDefault="00956D5E">
            <w:pPr>
              <w:spacing w:beforeLines="50" w:line="500" w:lineRule="exact"/>
              <w:ind w:leftChars="-4" w:left="-8" w:firstLineChars="2" w:firstLine="6"/>
              <w:jc w:val="center"/>
              <w:rPr>
                <w:rFonts w:ascii="宋体" w:hAnsi="宋体" w:cs="宋体" w:hint="eastAsia"/>
                <w:b/>
                <w:kern w:val="0"/>
                <w:sz w:val="32"/>
                <w:szCs w:val="32"/>
              </w:rPr>
            </w:pPr>
            <w:r>
              <w:rPr>
                <w:rFonts w:ascii="宋体" w:hAnsi="宋体" w:cs="宋体" w:hint="eastAsia"/>
                <w:b/>
                <w:kern w:val="0"/>
                <w:sz w:val="32"/>
                <w:szCs w:val="32"/>
              </w:rPr>
              <w:t>投资人权益须知</w:t>
            </w:r>
          </w:p>
          <w:p w:rsidR="00956D5E" w:rsidRDefault="00956D5E">
            <w:pPr>
              <w:spacing w:line="300" w:lineRule="exact"/>
              <w:ind w:left="597" w:hangingChars="199" w:hanging="597"/>
              <w:rPr>
                <w:rFonts w:ascii="宋体" w:hAnsi="宋体" w:cs="宋体" w:hint="eastAsia"/>
                <w:kern w:val="0"/>
                <w:sz w:val="30"/>
                <w:szCs w:val="30"/>
              </w:rPr>
            </w:pPr>
          </w:p>
          <w:p w:rsidR="00956D5E" w:rsidRDefault="00956D5E">
            <w:pPr>
              <w:spacing w:line="540" w:lineRule="exact"/>
              <w:ind w:left="420" w:hangingChars="199" w:hanging="420"/>
              <w:rPr>
                <w:rFonts w:ascii="宋体" w:hAnsi="宋体" w:cs="宋体" w:hint="eastAsia"/>
                <w:kern w:val="0"/>
                <w:szCs w:val="21"/>
              </w:rPr>
            </w:pPr>
            <w:r>
              <w:rPr>
                <w:rFonts w:ascii="宋体" w:hAnsi="宋体" w:cs="宋体" w:hint="eastAsia"/>
                <w:b/>
                <w:kern w:val="0"/>
                <w:szCs w:val="21"/>
              </w:rPr>
              <w:t>一、投资人办理理财业务的流程：</w:t>
            </w:r>
            <w:r>
              <w:rPr>
                <w:rFonts w:ascii="宋体" w:hAnsi="宋体" w:cs="宋体" w:hint="eastAsia"/>
                <w:kern w:val="0"/>
                <w:szCs w:val="21"/>
              </w:rPr>
              <w:t>投资人在销售网点理财经理的指导下进行风险承受能力评估，选择风险承受能力相匹配的理财产品，仔细阅读本理财产品《风险揭示书》、《产品说明书》、《理财产品销售协议书》等销售文件，充分了解理财产品具体情况，签订理财产品销售协议书并办理预购手续；产品成立，产品发行人按发行范围投资人预购先后顺序和发行规模上限确定投资人理财产品认购成功并按约定进行投资运作；发行人按约定将投资本金和收益划入投资人约定交易账户。产品不成立或产品成立投资人理财产品认购失败，产品发行人按约定将投资人理财产品预购本金退还至投资人约定交易账户。</w:t>
            </w:r>
          </w:p>
          <w:p w:rsidR="00956D5E" w:rsidRDefault="00956D5E">
            <w:pPr>
              <w:spacing w:line="540" w:lineRule="exact"/>
              <w:ind w:left="420" w:hangingChars="199" w:hanging="420"/>
            </w:pPr>
            <w:r>
              <w:rPr>
                <w:rFonts w:ascii="宋体" w:hAnsi="宋体" w:cs="宋体" w:hint="eastAsia"/>
                <w:b/>
                <w:kern w:val="0"/>
                <w:szCs w:val="21"/>
              </w:rPr>
              <w:t>二</w:t>
            </w:r>
            <w:r>
              <w:rPr>
                <w:rFonts w:ascii="宋体" w:hAnsi="宋体" w:cs="宋体"/>
                <w:b/>
                <w:kern w:val="0"/>
                <w:szCs w:val="21"/>
              </w:rPr>
              <w:t>、</w:t>
            </w:r>
            <w:r>
              <w:rPr>
                <w:rFonts w:hint="eastAsia"/>
                <w:b/>
              </w:rPr>
              <w:t>投资人风险承受能力评估流程、评级具体含义以及适合购买的理财产品</w:t>
            </w:r>
            <w:r>
              <w:rPr>
                <w:rFonts w:ascii="宋体" w:hAnsi="宋体" w:cs="宋体" w:hint="eastAsia"/>
                <w:b/>
                <w:kern w:val="0"/>
                <w:szCs w:val="21"/>
              </w:rPr>
              <w:t>：</w:t>
            </w:r>
            <w:r>
              <w:rPr>
                <w:rFonts w:ascii="宋体" w:hAnsi="宋体" w:cs="宋体" w:hint="eastAsia"/>
                <w:kern w:val="0"/>
                <w:szCs w:val="21"/>
              </w:rPr>
              <w:t>个人或机构投资人应在销售网点理财经理的指导下认真、客观、真实、准确的填写《个人/机构理财投资人风险评估问卷》并共同签字确认；</w:t>
            </w:r>
            <w:r>
              <w:rPr>
                <w:rFonts w:hint="eastAsia"/>
              </w:rPr>
              <w:t>个人或机构投资人风险评级为保守型适合极低风险产品，稳健型适合极低、低风险产品，平衡型适合极低、低、中等风险产品，成长型适合极低、低、中等、较高风险产品，进取型适合极低、低、中等、较高及高风险产品。</w:t>
            </w:r>
          </w:p>
          <w:p w:rsidR="00956D5E" w:rsidRDefault="00956D5E">
            <w:pPr>
              <w:spacing w:line="540" w:lineRule="exact"/>
              <w:ind w:left="420" w:hangingChars="199" w:hanging="420"/>
              <w:rPr>
                <w:rFonts w:ascii="宋体" w:hAnsi="宋体" w:cs="宋体" w:hint="eastAsia"/>
                <w:kern w:val="0"/>
                <w:szCs w:val="21"/>
              </w:rPr>
            </w:pPr>
            <w:r>
              <w:rPr>
                <w:rFonts w:ascii="宋体" w:hAnsi="宋体" w:cs="宋体" w:hint="eastAsia"/>
                <w:b/>
                <w:kern w:val="0"/>
                <w:szCs w:val="21"/>
              </w:rPr>
              <w:t>三</w:t>
            </w:r>
            <w:r>
              <w:rPr>
                <w:rFonts w:ascii="宋体" w:hAnsi="宋体" w:cs="宋体"/>
                <w:b/>
                <w:kern w:val="0"/>
                <w:szCs w:val="21"/>
              </w:rPr>
              <w:t>、</w:t>
            </w:r>
            <w:r>
              <w:rPr>
                <w:rFonts w:ascii="宋体" w:hAnsi="宋体" w:cs="宋体" w:hint="eastAsia"/>
                <w:b/>
                <w:kern w:val="0"/>
                <w:szCs w:val="21"/>
              </w:rPr>
              <w:t>个人或机构投资人首次到销售网点进行风险承受能力评估</w:t>
            </w:r>
            <w:r>
              <w:rPr>
                <w:rFonts w:ascii="宋体" w:hAnsi="宋体" w:cs="宋体" w:hint="eastAsia"/>
                <w:kern w:val="0"/>
                <w:szCs w:val="21"/>
              </w:rPr>
              <w:t>后应按年到销售网点进行风险承受能力评估；年度内风险承受能力的因素发生变化时，亦请及时到销售网点重新进行风险承受能力评估，以确保销售网点理财经理向投资人推荐合适的理财产品。</w:t>
            </w:r>
          </w:p>
          <w:p w:rsidR="00956D5E" w:rsidRDefault="00956D5E">
            <w:pPr>
              <w:spacing w:line="540" w:lineRule="exact"/>
              <w:ind w:left="420" w:hangingChars="199" w:hanging="420"/>
              <w:rPr>
                <w:rFonts w:ascii="宋体" w:hAnsi="宋体" w:cs="宋体"/>
                <w:kern w:val="0"/>
                <w:szCs w:val="21"/>
              </w:rPr>
            </w:pPr>
            <w:r>
              <w:rPr>
                <w:rFonts w:ascii="宋体" w:hAnsi="宋体" w:cs="宋体" w:hint="eastAsia"/>
                <w:b/>
                <w:kern w:val="0"/>
                <w:szCs w:val="21"/>
              </w:rPr>
              <w:t>四、产品信息披露方式、渠道和频率：</w:t>
            </w:r>
            <w:r>
              <w:rPr>
                <w:rFonts w:ascii="宋体" w:hAnsi="宋体" w:cs="宋体" w:hint="eastAsia"/>
                <w:kern w:val="0"/>
                <w:szCs w:val="21"/>
              </w:rPr>
              <w:t>销售行</w:t>
            </w:r>
            <w:r>
              <w:rPr>
                <w:rFonts w:ascii="宋体" w:hAnsi="宋体" w:cs="宋体"/>
                <w:kern w:val="0"/>
                <w:szCs w:val="21"/>
              </w:rPr>
              <w:t>将</w:t>
            </w:r>
            <w:r>
              <w:rPr>
                <w:rFonts w:ascii="宋体" w:hAnsi="宋体" w:cs="宋体" w:hint="eastAsia"/>
                <w:kern w:val="0"/>
                <w:szCs w:val="21"/>
              </w:rPr>
              <w:t>在产品起始日、产品到期日后三个工作日内在相关营业网点发布产品</w:t>
            </w:r>
            <w:r>
              <w:rPr>
                <w:rFonts w:ascii="宋体" w:hAnsi="宋体" w:cs="宋体"/>
                <w:kern w:val="0"/>
                <w:szCs w:val="21"/>
              </w:rPr>
              <w:t>信息公告。</w:t>
            </w:r>
            <w:r>
              <w:rPr>
                <w:rFonts w:ascii="宋体" w:hAnsi="宋体" w:cs="宋体" w:hint="eastAsia"/>
                <w:kern w:val="0"/>
                <w:szCs w:val="21"/>
              </w:rPr>
              <w:t>投资人</w:t>
            </w:r>
            <w:r>
              <w:rPr>
                <w:rFonts w:ascii="宋体" w:hAnsi="宋体" w:cs="宋体"/>
                <w:kern w:val="0"/>
                <w:szCs w:val="21"/>
              </w:rPr>
              <w:t>应</w:t>
            </w:r>
            <w:r>
              <w:rPr>
                <w:rFonts w:ascii="宋体" w:hAnsi="宋体" w:cs="宋体" w:hint="eastAsia"/>
                <w:kern w:val="0"/>
                <w:szCs w:val="21"/>
              </w:rPr>
              <w:t>密切</w:t>
            </w:r>
            <w:r>
              <w:rPr>
                <w:rFonts w:ascii="宋体" w:hAnsi="宋体" w:cs="宋体"/>
                <w:kern w:val="0"/>
                <w:szCs w:val="21"/>
              </w:rPr>
              <w:t>关注</w:t>
            </w:r>
            <w:r>
              <w:rPr>
                <w:rFonts w:ascii="宋体" w:hAnsi="宋体" w:cs="宋体" w:hint="eastAsia"/>
                <w:kern w:val="0"/>
                <w:szCs w:val="21"/>
              </w:rPr>
              <w:t>销售行与产品有关</w:t>
            </w:r>
            <w:r>
              <w:rPr>
                <w:rFonts w:ascii="宋体" w:hAnsi="宋体" w:cs="宋体"/>
                <w:kern w:val="0"/>
                <w:szCs w:val="21"/>
              </w:rPr>
              <w:t>的信息</w:t>
            </w:r>
            <w:r>
              <w:rPr>
                <w:rFonts w:ascii="宋体" w:hAnsi="宋体" w:cs="宋体" w:hint="eastAsia"/>
                <w:kern w:val="0"/>
                <w:szCs w:val="21"/>
              </w:rPr>
              <w:t>公告</w:t>
            </w:r>
            <w:r>
              <w:rPr>
                <w:rFonts w:ascii="宋体" w:hAnsi="宋体" w:cs="宋体"/>
                <w:kern w:val="0"/>
                <w:szCs w:val="21"/>
              </w:rPr>
              <w:t>，</w:t>
            </w:r>
            <w:r>
              <w:rPr>
                <w:rFonts w:ascii="宋体" w:hAnsi="宋体" w:cs="宋体" w:hint="eastAsia"/>
                <w:kern w:val="0"/>
                <w:szCs w:val="21"/>
              </w:rPr>
              <w:t>以免造成不必要的损失。</w:t>
            </w:r>
          </w:p>
          <w:p w:rsidR="00956D5E" w:rsidRDefault="00956D5E">
            <w:pPr>
              <w:spacing w:line="540" w:lineRule="exact"/>
              <w:ind w:left="420" w:hangingChars="199" w:hanging="420"/>
              <w:rPr>
                <w:rFonts w:ascii="宋体" w:hAnsi="宋体" w:cs="宋体" w:hint="eastAsia"/>
                <w:kern w:val="0"/>
                <w:sz w:val="28"/>
                <w:szCs w:val="28"/>
              </w:rPr>
            </w:pPr>
            <w:r>
              <w:rPr>
                <w:rFonts w:ascii="宋体" w:hAnsi="宋体" w:cs="宋体" w:hint="eastAsia"/>
                <w:b/>
                <w:kern w:val="0"/>
                <w:szCs w:val="21"/>
              </w:rPr>
              <w:t>五</w:t>
            </w:r>
            <w:r>
              <w:rPr>
                <w:rFonts w:ascii="宋体" w:hAnsi="宋体" w:cs="宋体"/>
                <w:b/>
                <w:kern w:val="0"/>
                <w:szCs w:val="21"/>
              </w:rPr>
              <w:t>、</w:t>
            </w:r>
            <w:r>
              <w:rPr>
                <w:rFonts w:ascii="宋体" w:hAnsi="宋体" w:cs="宋体" w:hint="eastAsia"/>
                <w:b/>
                <w:kern w:val="0"/>
                <w:szCs w:val="21"/>
              </w:rPr>
              <w:t>投资人投诉方式和程序：</w:t>
            </w:r>
            <w:r>
              <w:rPr>
                <w:rFonts w:ascii="宋体" w:hAnsi="宋体" w:cs="宋体" w:hint="eastAsia"/>
                <w:kern w:val="0"/>
                <w:szCs w:val="21"/>
              </w:rPr>
              <w:t>投资人可通过电话方式进行投诉，投诉接待人员将按有关规定进行处理。投诉电话：</w:t>
            </w:r>
            <w:r>
              <w:rPr>
                <w:rFonts w:ascii="宋体" w:hAnsi="宋体" w:cs="宋体" w:hint="eastAsia"/>
                <w:kern w:val="0"/>
                <w:szCs w:val="21"/>
                <w:u w:val="single"/>
              </w:rPr>
              <w:t xml:space="preserve"> 0793-8306002 </w:t>
            </w:r>
          </w:p>
        </w:tc>
      </w:tr>
    </w:tbl>
    <w:p w:rsidR="00956D5E" w:rsidRDefault="00956D5E">
      <w:pPr>
        <w:widowControl/>
        <w:spacing w:afterLines="50" w:line="440" w:lineRule="exact"/>
        <w:ind w:firstLineChars="200" w:firstLine="561"/>
        <w:jc w:val="left"/>
        <w:rPr>
          <w:rFonts w:ascii="华文细黑" w:eastAsia="华文细黑" w:hAnsi="华文细黑" w:cs="宋体" w:hint="eastAsia"/>
          <w:b/>
          <w:bCs/>
          <w:kern w:val="0"/>
          <w:sz w:val="28"/>
          <w:szCs w:val="28"/>
        </w:rPr>
      </w:pPr>
    </w:p>
    <w:p w:rsidR="00956D5E" w:rsidRDefault="00956D5E">
      <w:pPr>
        <w:widowControl/>
        <w:spacing w:afterLines="50" w:line="440" w:lineRule="exact"/>
        <w:ind w:firstLineChars="200" w:firstLine="561"/>
        <w:jc w:val="left"/>
        <w:rPr>
          <w:rFonts w:ascii="华文细黑" w:eastAsia="华文细黑" w:hAnsi="华文细黑" w:cs="宋体" w:hint="eastAsia"/>
          <w:kern w:val="0"/>
          <w:sz w:val="28"/>
          <w:szCs w:val="28"/>
        </w:rPr>
      </w:pPr>
      <w:r>
        <w:rPr>
          <w:rFonts w:ascii="华文细黑" w:eastAsia="华文细黑" w:hAnsi="华文细黑" w:cs="宋体" w:hint="eastAsia"/>
          <w:b/>
          <w:bCs/>
          <w:kern w:val="0"/>
          <w:sz w:val="28"/>
          <w:szCs w:val="28"/>
        </w:rPr>
        <w:lastRenderedPageBreak/>
        <w:t>一、产品概述</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037"/>
        <w:gridCol w:w="103"/>
        <w:gridCol w:w="1412"/>
        <w:gridCol w:w="4288"/>
      </w:tblGrid>
      <w:tr w:rsidR="00956D5E">
        <w:trPr>
          <w:trHeight w:val="450"/>
          <w:jc w:val="center"/>
        </w:trPr>
        <w:tc>
          <w:tcPr>
            <w:tcW w:w="2808" w:type="dxa"/>
            <w:vMerge w:val="restart"/>
            <w:vAlign w:val="center"/>
          </w:tcPr>
          <w:p w:rsidR="00956D5E" w:rsidRDefault="00956D5E">
            <w:pPr>
              <w:spacing w:line="46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理财产品</w:t>
            </w:r>
          </w:p>
        </w:tc>
        <w:tc>
          <w:tcPr>
            <w:tcW w:w="6840" w:type="dxa"/>
            <w:gridSpan w:val="4"/>
            <w:vAlign w:val="center"/>
          </w:tcPr>
          <w:p w:rsidR="00956D5E" w:rsidRDefault="00956D5E">
            <w:pPr>
              <w:spacing w:line="280" w:lineRule="exact"/>
              <w:ind w:firstLine="34"/>
              <w:rPr>
                <w:rFonts w:ascii="宋体" w:hAnsi="宋体" w:cs="宋体" w:hint="eastAsia"/>
                <w:b/>
                <w:color w:val="FF0000"/>
                <w:kern w:val="0"/>
                <w:sz w:val="18"/>
                <w:szCs w:val="18"/>
              </w:rPr>
            </w:pPr>
            <w:r>
              <w:rPr>
                <w:rFonts w:ascii="宋体" w:hAnsi="宋体" w:cs="宋体" w:hint="eastAsia"/>
                <w:b/>
                <w:spacing w:val="6"/>
                <w:kern w:val="0"/>
                <w:sz w:val="18"/>
                <w:szCs w:val="18"/>
              </w:rPr>
              <w:t>产品名称：</w:t>
            </w:r>
            <w:r>
              <w:rPr>
                <w:rFonts w:ascii="宋体" w:hAnsi="宋体" w:cs="宋体" w:hint="eastAsia"/>
                <w:b/>
                <w:kern w:val="0"/>
                <w:sz w:val="18"/>
                <w:szCs w:val="18"/>
              </w:rPr>
              <w:t>百福理财</w:t>
            </w:r>
            <w:r>
              <w:rPr>
                <w:rFonts w:ascii="宋体" w:hAnsi="宋体" w:cs="宋体" w:hint="eastAsia"/>
                <w:b/>
                <w:kern w:val="0"/>
                <w:sz w:val="18"/>
                <w:szCs w:val="18"/>
                <w:u w:val="single"/>
              </w:rPr>
              <w:t>禧临门</w:t>
            </w:r>
            <w:r>
              <w:rPr>
                <w:rFonts w:ascii="宋体" w:hAnsi="宋体" w:cs="宋体" w:hint="eastAsia"/>
                <w:b/>
                <w:kern w:val="0"/>
                <w:sz w:val="18"/>
                <w:szCs w:val="18"/>
              </w:rPr>
              <w:t>系列</w:t>
            </w:r>
            <w:r w:rsidR="001E4CE2">
              <w:rPr>
                <w:rFonts w:ascii="宋体" w:hAnsi="宋体" w:cs="宋体" w:hint="eastAsia"/>
                <w:b/>
                <w:color w:val="FF0000"/>
                <w:kern w:val="0"/>
                <w:sz w:val="18"/>
                <w:szCs w:val="18"/>
              </w:rPr>
              <w:t>CG15920150703002</w:t>
            </w:r>
            <w:r>
              <w:rPr>
                <w:rFonts w:ascii="宋体" w:hAnsi="宋体" w:cs="宋体" w:hint="eastAsia"/>
                <w:b/>
                <w:kern w:val="0"/>
                <w:sz w:val="18"/>
                <w:szCs w:val="18"/>
              </w:rPr>
              <w:t>号</w:t>
            </w:r>
          </w:p>
        </w:tc>
      </w:tr>
      <w:tr w:rsidR="00956D5E">
        <w:trPr>
          <w:trHeight w:val="412"/>
          <w:jc w:val="center"/>
        </w:trPr>
        <w:tc>
          <w:tcPr>
            <w:tcW w:w="2808" w:type="dxa"/>
            <w:vMerge/>
            <w:vAlign w:val="center"/>
          </w:tcPr>
          <w:p w:rsidR="00956D5E" w:rsidRDefault="00956D5E">
            <w:pPr>
              <w:spacing w:line="460" w:lineRule="exact"/>
              <w:ind w:firstLine="34"/>
              <w:jc w:val="center"/>
              <w:rPr>
                <w:rFonts w:ascii="宋体" w:hAnsi="宋体" w:cs="宋体" w:hint="eastAsia"/>
                <w:b/>
                <w:spacing w:val="6"/>
                <w:kern w:val="0"/>
                <w:szCs w:val="21"/>
              </w:rPr>
            </w:pPr>
          </w:p>
        </w:tc>
        <w:tc>
          <w:tcPr>
            <w:tcW w:w="6840" w:type="dxa"/>
            <w:gridSpan w:val="4"/>
            <w:vAlign w:val="center"/>
          </w:tcPr>
          <w:p w:rsidR="00956D5E" w:rsidRDefault="00956D5E">
            <w:pPr>
              <w:spacing w:line="280" w:lineRule="exact"/>
              <w:ind w:firstLine="34"/>
              <w:rPr>
                <w:rFonts w:ascii="宋体" w:hAnsi="宋体" w:cs="宋体" w:hint="eastAsia"/>
                <w:b/>
                <w:kern w:val="0"/>
                <w:sz w:val="18"/>
                <w:szCs w:val="18"/>
              </w:rPr>
            </w:pPr>
            <w:r>
              <w:rPr>
                <w:rFonts w:ascii="宋体" w:hAnsi="宋体" w:cs="宋体" w:hint="eastAsia"/>
                <w:b/>
                <w:kern w:val="0"/>
                <w:sz w:val="18"/>
                <w:szCs w:val="18"/>
              </w:rPr>
              <w:t>产品编号：</w:t>
            </w:r>
            <w:r w:rsidR="001E4CE2">
              <w:rPr>
                <w:rFonts w:ascii="宋体" w:hAnsi="宋体" w:cs="宋体" w:hint="eastAsia"/>
                <w:b/>
                <w:color w:val="FF0000"/>
                <w:kern w:val="0"/>
                <w:sz w:val="18"/>
                <w:szCs w:val="18"/>
              </w:rPr>
              <w:t>CG15920150703002</w:t>
            </w:r>
          </w:p>
        </w:tc>
      </w:tr>
      <w:tr w:rsidR="00956D5E">
        <w:trPr>
          <w:trHeight w:val="228"/>
          <w:jc w:val="center"/>
        </w:trPr>
        <w:tc>
          <w:tcPr>
            <w:tcW w:w="2808" w:type="dxa"/>
            <w:vAlign w:val="center"/>
          </w:tcPr>
          <w:p w:rsidR="00956D5E" w:rsidRDefault="00956D5E">
            <w:pPr>
              <w:spacing w:line="46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产品发行人</w:t>
            </w:r>
          </w:p>
        </w:tc>
        <w:tc>
          <w:tcPr>
            <w:tcW w:w="6840" w:type="dxa"/>
            <w:gridSpan w:val="4"/>
            <w:vAlign w:val="center"/>
          </w:tcPr>
          <w:p w:rsidR="00956D5E" w:rsidRDefault="00956D5E">
            <w:pPr>
              <w:spacing w:line="280" w:lineRule="exact"/>
              <w:rPr>
                <w:rFonts w:ascii="宋体" w:hAnsi="宋体" w:cs="宋体" w:hint="eastAsia"/>
                <w:kern w:val="0"/>
                <w:sz w:val="18"/>
                <w:szCs w:val="18"/>
              </w:rPr>
            </w:pPr>
            <w:r>
              <w:rPr>
                <w:rFonts w:ascii="宋体" w:hAnsi="宋体" w:cs="宋体" w:hint="eastAsia"/>
                <w:kern w:val="0"/>
                <w:sz w:val="18"/>
                <w:szCs w:val="18"/>
                <w:u w:val="single"/>
              </w:rPr>
              <w:t>上饶农商银行</w:t>
            </w:r>
          </w:p>
        </w:tc>
      </w:tr>
      <w:tr w:rsidR="00956D5E">
        <w:trPr>
          <w:trHeight w:val="228"/>
          <w:jc w:val="center"/>
        </w:trPr>
        <w:tc>
          <w:tcPr>
            <w:tcW w:w="2808" w:type="dxa"/>
            <w:vAlign w:val="center"/>
          </w:tcPr>
          <w:p w:rsidR="00956D5E" w:rsidRDefault="00956D5E">
            <w:pPr>
              <w:spacing w:line="46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产品发行范围</w:t>
            </w:r>
          </w:p>
        </w:tc>
        <w:tc>
          <w:tcPr>
            <w:tcW w:w="6840" w:type="dxa"/>
            <w:gridSpan w:val="4"/>
            <w:vAlign w:val="center"/>
          </w:tcPr>
          <w:p w:rsidR="00956D5E" w:rsidRDefault="00956D5E">
            <w:pPr>
              <w:spacing w:line="280" w:lineRule="exact"/>
              <w:rPr>
                <w:rFonts w:ascii="宋体" w:hAnsi="宋体" w:cs="宋体" w:hint="eastAsia"/>
                <w:kern w:val="0"/>
                <w:sz w:val="18"/>
                <w:szCs w:val="18"/>
              </w:rPr>
            </w:pPr>
            <w:r>
              <w:rPr>
                <w:rFonts w:ascii="仿宋_GB2312" w:cs="宋体" w:hint="eastAsia"/>
                <w:color w:val="000000"/>
                <w:kern w:val="0"/>
                <w:sz w:val="18"/>
                <w:szCs w:val="18"/>
              </w:rPr>
              <w:t>我省具有合格理财人员的营业网点</w:t>
            </w:r>
          </w:p>
        </w:tc>
      </w:tr>
      <w:tr w:rsidR="00956D5E">
        <w:trPr>
          <w:trHeight w:val="844"/>
          <w:jc w:val="center"/>
        </w:trPr>
        <w:tc>
          <w:tcPr>
            <w:tcW w:w="2808" w:type="dxa"/>
            <w:vAlign w:val="center"/>
          </w:tcPr>
          <w:p w:rsidR="00956D5E" w:rsidRDefault="00956D5E">
            <w:pPr>
              <w:spacing w:line="46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适合投资人</w:t>
            </w:r>
          </w:p>
        </w:tc>
        <w:tc>
          <w:tcPr>
            <w:tcW w:w="6840" w:type="dxa"/>
            <w:gridSpan w:val="4"/>
            <w:vAlign w:val="center"/>
          </w:tcPr>
          <w:p w:rsidR="00956D5E" w:rsidRDefault="00956D5E">
            <w:pPr>
              <w:spacing w:line="280" w:lineRule="exact"/>
              <w:ind w:firstLineChars="200" w:firstLine="360"/>
              <w:rPr>
                <w:rFonts w:ascii="宋体" w:hAnsi="宋体" w:cs="宋体" w:hint="eastAsia"/>
                <w:kern w:val="0"/>
                <w:sz w:val="18"/>
                <w:szCs w:val="18"/>
              </w:rPr>
            </w:pPr>
            <w:r>
              <w:rPr>
                <w:rFonts w:ascii="宋体" w:hAnsi="宋体" w:cs="宋体" w:hint="eastAsia"/>
                <w:kern w:val="0"/>
                <w:sz w:val="18"/>
                <w:szCs w:val="18"/>
              </w:rPr>
              <w:t>经产品发行人风险评估为</w:t>
            </w:r>
            <w:r>
              <w:rPr>
                <w:rFonts w:ascii="宋体" w:hAnsi="宋体" w:cs="宋体" w:hint="eastAsia"/>
                <w:kern w:val="0"/>
                <w:sz w:val="18"/>
                <w:szCs w:val="18"/>
                <w:u w:val="single"/>
              </w:rPr>
              <w:t>二</w:t>
            </w:r>
            <w:r>
              <w:rPr>
                <w:rFonts w:ascii="宋体" w:hAnsi="宋体" w:cs="宋体"/>
                <w:kern w:val="0"/>
                <w:sz w:val="18"/>
                <w:szCs w:val="18"/>
              </w:rPr>
              <w:t>级</w:t>
            </w:r>
            <w:r>
              <w:rPr>
                <w:rFonts w:ascii="宋体" w:hAnsi="宋体" w:cs="宋体" w:hint="eastAsia"/>
                <w:kern w:val="0"/>
                <w:sz w:val="18"/>
                <w:szCs w:val="18"/>
              </w:rPr>
              <w:t>，适合投资人风险评估为</w:t>
            </w:r>
            <w:r>
              <w:rPr>
                <w:rFonts w:ascii="宋体" w:hAnsi="宋体" w:cs="宋体" w:hint="eastAsia"/>
                <w:kern w:val="0"/>
                <w:sz w:val="18"/>
                <w:szCs w:val="18"/>
                <w:u w:val="single"/>
              </w:rPr>
              <w:t>稳健型、平衡型、成长型、进取型</w:t>
            </w:r>
            <w:r>
              <w:rPr>
                <w:rFonts w:ascii="宋体" w:hAnsi="宋体" w:cs="宋体" w:hint="eastAsia"/>
                <w:kern w:val="0"/>
                <w:sz w:val="18"/>
                <w:szCs w:val="18"/>
              </w:rPr>
              <w:t>的个人合格投资者（包括有投资经验及无投资经验），以及机构投资者。</w:t>
            </w:r>
          </w:p>
        </w:tc>
      </w:tr>
      <w:tr w:rsidR="00956D5E">
        <w:trPr>
          <w:trHeight w:val="555"/>
          <w:jc w:val="center"/>
        </w:trPr>
        <w:tc>
          <w:tcPr>
            <w:tcW w:w="2808" w:type="dxa"/>
            <w:vAlign w:val="center"/>
          </w:tcPr>
          <w:p w:rsidR="00956D5E" w:rsidRDefault="00956D5E">
            <w:pPr>
              <w:spacing w:line="46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期    限</w:t>
            </w:r>
          </w:p>
        </w:tc>
        <w:tc>
          <w:tcPr>
            <w:tcW w:w="6840" w:type="dxa"/>
            <w:gridSpan w:val="4"/>
            <w:vAlign w:val="center"/>
          </w:tcPr>
          <w:p w:rsidR="00956D5E" w:rsidRDefault="001E4CE2">
            <w:pPr>
              <w:spacing w:line="280" w:lineRule="exact"/>
              <w:rPr>
                <w:rFonts w:ascii="宋体" w:hAnsi="宋体" w:cs="宋体" w:hint="eastAsia"/>
                <w:kern w:val="0"/>
                <w:sz w:val="18"/>
                <w:szCs w:val="18"/>
              </w:rPr>
            </w:pPr>
            <w:r>
              <w:rPr>
                <w:rFonts w:ascii="宋体" w:hAnsi="宋体" w:cs="宋体" w:hint="eastAsia"/>
                <w:color w:val="FF0000"/>
                <w:kern w:val="0"/>
                <w:sz w:val="18"/>
                <w:szCs w:val="18"/>
                <w:u w:val="single"/>
              </w:rPr>
              <w:t>62</w:t>
            </w:r>
            <w:r w:rsidR="00956D5E">
              <w:rPr>
                <w:rFonts w:ascii="宋体" w:hAnsi="宋体" w:cs="宋体" w:hint="eastAsia"/>
                <w:kern w:val="0"/>
                <w:sz w:val="18"/>
                <w:szCs w:val="18"/>
              </w:rPr>
              <w:t>天</w:t>
            </w:r>
          </w:p>
        </w:tc>
      </w:tr>
      <w:tr w:rsidR="00956D5E">
        <w:trPr>
          <w:trHeight w:val="443"/>
          <w:jc w:val="center"/>
        </w:trPr>
        <w:tc>
          <w:tcPr>
            <w:tcW w:w="2808" w:type="dxa"/>
            <w:vAlign w:val="center"/>
          </w:tcPr>
          <w:p w:rsidR="00956D5E" w:rsidRDefault="00956D5E">
            <w:pPr>
              <w:spacing w:line="46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产品起始日</w:t>
            </w:r>
          </w:p>
        </w:tc>
        <w:tc>
          <w:tcPr>
            <w:tcW w:w="6840" w:type="dxa"/>
            <w:gridSpan w:val="4"/>
            <w:vAlign w:val="center"/>
          </w:tcPr>
          <w:p w:rsidR="00956D5E" w:rsidRDefault="00956D5E" w:rsidP="001E4CE2">
            <w:pPr>
              <w:spacing w:line="280" w:lineRule="exact"/>
              <w:ind w:firstLine="34"/>
              <w:rPr>
                <w:rFonts w:ascii="宋体" w:hAnsi="宋体" w:cs="宋体" w:hint="eastAsia"/>
                <w:color w:val="FF0000"/>
                <w:kern w:val="0"/>
                <w:sz w:val="18"/>
                <w:szCs w:val="18"/>
              </w:rPr>
            </w:pPr>
            <w:r>
              <w:rPr>
                <w:rFonts w:ascii="宋体" w:hAnsi="宋体" w:cs="宋体" w:hint="eastAsia"/>
                <w:color w:val="FF0000"/>
                <w:kern w:val="0"/>
                <w:sz w:val="18"/>
                <w:szCs w:val="18"/>
                <w:u w:val="single"/>
              </w:rPr>
              <w:t>2015</w:t>
            </w:r>
            <w:r>
              <w:rPr>
                <w:rFonts w:ascii="宋体" w:hAnsi="宋体" w:cs="宋体" w:hint="eastAsia"/>
                <w:color w:val="FF0000"/>
                <w:kern w:val="0"/>
                <w:sz w:val="18"/>
                <w:szCs w:val="18"/>
              </w:rPr>
              <w:t>年</w:t>
            </w:r>
            <w:r w:rsidR="001E4CE2">
              <w:rPr>
                <w:rFonts w:ascii="宋体" w:hAnsi="宋体" w:cs="宋体" w:hint="eastAsia"/>
                <w:color w:val="FF0000"/>
                <w:kern w:val="0"/>
                <w:sz w:val="18"/>
                <w:szCs w:val="18"/>
                <w:u w:val="single"/>
              </w:rPr>
              <w:t>7</w:t>
            </w:r>
            <w:r>
              <w:rPr>
                <w:rFonts w:ascii="宋体" w:hAnsi="宋体" w:cs="宋体" w:hint="eastAsia"/>
                <w:color w:val="FF0000"/>
                <w:kern w:val="0"/>
                <w:sz w:val="18"/>
                <w:szCs w:val="18"/>
              </w:rPr>
              <w:t>月</w:t>
            </w:r>
            <w:r w:rsidR="001E4CE2">
              <w:rPr>
                <w:rFonts w:ascii="宋体" w:hAnsi="宋体" w:cs="宋体" w:hint="eastAsia"/>
                <w:color w:val="FF0000"/>
                <w:kern w:val="0"/>
                <w:sz w:val="18"/>
                <w:szCs w:val="18"/>
                <w:u w:val="single"/>
              </w:rPr>
              <w:t>9</w:t>
            </w:r>
            <w:r>
              <w:rPr>
                <w:rFonts w:ascii="宋体" w:hAnsi="宋体" w:cs="宋体" w:hint="eastAsia"/>
                <w:color w:val="FF0000"/>
                <w:kern w:val="0"/>
                <w:sz w:val="18"/>
                <w:szCs w:val="18"/>
              </w:rPr>
              <w:t>日</w:t>
            </w:r>
          </w:p>
        </w:tc>
      </w:tr>
      <w:tr w:rsidR="00956D5E">
        <w:trPr>
          <w:trHeight w:val="228"/>
          <w:jc w:val="center"/>
        </w:trPr>
        <w:tc>
          <w:tcPr>
            <w:tcW w:w="2808" w:type="dxa"/>
            <w:vAlign w:val="center"/>
          </w:tcPr>
          <w:p w:rsidR="00956D5E" w:rsidRDefault="00956D5E">
            <w:pPr>
              <w:spacing w:line="46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产品到期日</w:t>
            </w:r>
          </w:p>
        </w:tc>
        <w:tc>
          <w:tcPr>
            <w:tcW w:w="6840" w:type="dxa"/>
            <w:gridSpan w:val="4"/>
            <w:vAlign w:val="center"/>
          </w:tcPr>
          <w:p w:rsidR="00956D5E" w:rsidRDefault="00956D5E" w:rsidP="001E4CE2">
            <w:pPr>
              <w:spacing w:line="280" w:lineRule="exact"/>
              <w:rPr>
                <w:rFonts w:ascii="宋体" w:hAnsi="宋体" w:cs="宋体" w:hint="eastAsia"/>
                <w:color w:val="FF0000"/>
                <w:kern w:val="0"/>
                <w:sz w:val="18"/>
                <w:szCs w:val="18"/>
              </w:rPr>
            </w:pPr>
            <w:r>
              <w:rPr>
                <w:rFonts w:ascii="宋体" w:hAnsi="宋体" w:cs="宋体" w:hint="eastAsia"/>
                <w:color w:val="FF0000"/>
                <w:kern w:val="0"/>
                <w:sz w:val="18"/>
                <w:szCs w:val="18"/>
                <w:u w:val="single"/>
              </w:rPr>
              <w:t>2015</w:t>
            </w:r>
            <w:r>
              <w:rPr>
                <w:rFonts w:ascii="宋体" w:hAnsi="宋体" w:cs="宋体" w:hint="eastAsia"/>
                <w:color w:val="FF0000"/>
                <w:kern w:val="0"/>
                <w:sz w:val="18"/>
                <w:szCs w:val="18"/>
              </w:rPr>
              <w:t>年</w:t>
            </w:r>
            <w:r w:rsidR="001E4CE2">
              <w:rPr>
                <w:rFonts w:ascii="宋体" w:hAnsi="宋体" w:cs="宋体" w:hint="eastAsia"/>
                <w:color w:val="FF0000"/>
                <w:kern w:val="0"/>
                <w:sz w:val="18"/>
                <w:szCs w:val="18"/>
                <w:u w:val="single"/>
              </w:rPr>
              <w:t>9</w:t>
            </w:r>
            <w:r>
              <w:rPr>
                <w:rFonts w:ascii="宋体" w:hAnsi="宋体" w:cs="宋体" w:hint="eastAsia"/>
                <w:color w:val="FF0000"/>
                <w:kern w:val="0"/>
                <w:sz w:val="18"/>
                <w:szCs w:val="18"/>
              </w:rPr>
              <w:t>月</w:t>
            </w:r>
            <w:r w:rsidR="001E4CE2">
              <w:rPr>
                <w:rFonts w:ascii="宋体" w:hAnsi="宋体" w:cs="宋体" w:hint="eastAsia"/>
                <w:color w:val="FF0000"/>
                <w:kern w:val="0"/>
                <w:sz w:val="18"/>
                <w:szCs w:val="18"/>
                <w:u w:val="single"/>
              </w:rPr>
              <w:t>9</w:t>
            </w:r>
            <w:r>
              <w:rPr>
                <w:rFonts w:ascii="宋体" w:hAnsi="宋体" w:cs="宋体" w:hint="eastAsia"/>
                <w:color w:val="FF0000"/>
                <w:kern w:val="0"/>
                <w:sz w:val="18"/>
                <w:szCs w:val="18"/>
              </w:rPr>
              <w:t>日</w:t>
            </w:r>
          </w:p>
        </w:tc>
      </w:tr>
      <w:tr w:rsidR="00956D5E">
        <w:trPr>
          <w:trHeight w:val="228"/>
          <w:jc w:val="center"/>
        </w:trPr>
        <w:tc>
          <w:tcPr>
            <w:tcW w:w="2808" w:type="dxa"/>
            <w:vAlign w:val="center"/>
          </w:tcPr>
          <w:p w:rsidR="00956D5E" w:rsidRDefault="00956D5E">
            <w:pPr>
              <w:spacing w:line="46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投资及收益币种</w:t>
            </w:r>
          </w:p>
        </w:tc>
        <w:tc>
          <w:tcPr>
            <w:tcW w:w="1037" w:type="dxa"/>
            <w:vAlign w:val="center"/>
          </w:tcPr>
          <w:p w:rsidR="00956D5E" w:rsidRDefault="00956D5E">
            <w:pPr>
              <w:spacing w:line="280" w:lineRule="exact"/>
              <w:ind w:firstLine="34"/>
              <w:rPr>
                <w:rFonts w:ascii="宋体" w:hAnsi="宋体" w:cs="宋体" w:hint="eastAsia"/>
                <w:kern w:val="0"/>
                <w:sz w:val="18"/>
                <w:szCs w:val="18"/>
              </w:rPr>
            </w:pPr>
            <w:r>
              <w:rPr>
                <w:rFonts w:ascii="宋体" w:hAnsi="宋体" w:cs="宋体" w:hint="eastAsia"/>
                <w:kern w:val="0"/>
                <w:sz w:val="18"/>
                <w:szCs w:val="18"/>
              </w:rPr>
              <w:t>人民币</w:t>
            </w:r>
          </w:p>
        </w:tc>
        <w:tc>
          <w:tcPr>
            <w:tcW w:w="1515" w:type="dxa"/>
            <w:gridSpan w:val="2"/>
            <w:vAlign w:val="center"/>
          </w:tcPr>
          <w:p w:rsidR="00956D5E" w:rsidRDefault="00956D5E">
            <w:pPr>
              <w:spacing w:line="280" w:lineRule="exact"/>
              <w:jc w:val="center"/>
              <w:rPr>
                <w:rFonts w:ascii="宋体" w:hAnsi="宋体" w:cs="宋体" w:hint="eastAsia"/>
                <w:kern w:val="0"/>
                <w:sz w:val="18"/>
                <w:szCs w:val="18"/>
              </w:rPr>
            </w:pPr>
            <w:r>
              <w:rPr>
                <w:rFonts w:ascii="宋体" w:hAnsi="宋体" w:cs="宋体" w:hint="eastAsia"/>
                <w:b/>
                <w:spacing w:val="6"/>
                <w:kern w:val="0"/>
                <w:sz w:val="18"/>
                <w:szCs w:val="18"/>
              </w:rPr>
              <w:t>产品类型</w:t>
            </w:r>
          </w:p>
        </w:tc>
        <w:tc>
          <w:tcPr>
            <w:tcW w:w="4288" w:type="dxa"/>
            <w:vAlign w:val="center"/>
          </w:tcPr>
          <w:p w:rsidR="00956D5E" w:rsidRDefault="00956D5E">
            <w:pPr>
              <w:spacing w:line="280" w:lineRule="exact"/>
              <w:rPr>
                <w:rFonts w:ascii="宋体" w:hAnsi="宋体" w:hint="eastAsia"/>
                <w:b/>
                <w:bCs/>
                <w:sz w:val="18"/>
                <w:szCs w:val="18"/>
              </w:rPr>
            </w:pPr>
            <w:r>
              <w:rPr>
                <w:rFonts w:ascii="宋体" w:hAnsi="宋体" w:hint="eastAsia"/>
                <w:b/>
                <w:bCs/>
                <w:sz w:val="18"/>
                <w:szCs w:val="18"/>
              </w:rPr>
              <w:t>□非保本浮动收益型   √保本浮动收益型</w:t>
            </w:r>
          </w:p>
          <w:p w:rsidR="00956D5E" w:rsidRDefault="00956D5E">
            <w:pPr>
              <w:spacing w:line="280" w:lineRule="exact"/>
              <w:rPr>
                <w:rFonts w:ascii="宋体" w:hAnsi="宋体" w:cs="宋体" w:hint="eastAsia"/>
                <w:kern w:val="0"/>
                <w:sz w:val="18"/>
                <w:szCs w:val="18"/>
              </w:rPr>
            </w:pPr>
            <w:r>
              <w:rPr>
                <w:rFonts w:ascii="宋体" w:hAnsi="宋体" w:hint="eastAsia"/>
                <w:b/>
                <w:bCs/>
                <w:sz w:val="18"/>
                <w:szCs w:val="18"/>
              </w:rPr>
              <w:t>□保证收益型</w:t>
            </w:r>
          </w:p>
        </w:tc>
      </w:tr>
      <w:tr w:rsidR="00956D5E">
        <w:trPr>
          <w:trHeight w:val="435"/>
          <w:jc w:val="center"/>
        </w:trPr>
        <w:tc>
          <w:tcPr>
            <w:tcW w:w="2808" w:type="dxa"/>
            <w:vAlign w:val="center"/>
          </w:tcPr>
          <w:p w:rsidR="00956D5E" w:rsidRDefault="00956D5E">
            <w:pPr>
              <w:spacing w:line="46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发行规模</w:t>
            </w:r>
          </w:p>
        </w:tc>
        <w:tc>
          <w:tcPr>
            <w:tcW w:w="6840" w:type="dxa"/>
            <w:gridSpan w:val="4"/>
            <w:vAlign w:val="center"/>
          </w:tcPr>
          <w:p w:rsidR="00956D5E" w:rsidRDefault="00956D5E" w:rsidP="009110AC">
            <w:pPr>
              <w:spacing w:line="280" w:lineRule="exact"/>
              <w:rPr>
                <w:rFonts w:ascii="宋体" w:hAnsi="宋体" w:cs="宋体" w:hint="eastAsia"/>
                <w:kern w:val="0"/>
                <w:sz w:val="18"/>
                <w:szCs w:val="18"/>
              </w:rPr>
            </w:pPr>
            <w:r>
              <w:rPr>
                <w:rFonts w:ascii="宋体" w:hAnsi="宋体" w:cs="宋体" w:hint="eastAsia"/>
                <w:kern w:val="0"/>
                <w:sz w:val="18"/>
                <w:szCs w:val="18"/>
                <w:u w:val="single"/>
              </w:rPr>
              <w:t>1000</w:t>
            </w:r>
            <w:r>
              <w:rPr>
                <w:rFonts w:ascii="宋体" w:hAnsi="宋体" w:cs="宋体" w:hint="eastAsia"/>
                <w:kern w:val="0"/>
                <w:sz w:val="18"/>
                <w:szCs w:val="18"/>
              </w:rPr>
              <w:t>万元至</w:t>
            </w:r>
            <w:r w:rsidR="009110AC">
              <w:rPr>
                <w:rFonts w:ascii="宋体" w:hAnsi="宋体" w:cs="宋体" w:hint="eastAsia"/>
                <w:kern w:val="0"/>
                <w:sz w:val="18"/>
                <w:szCs w:val="18"/>
                <w:u w:val="single"/>
              </w:rPr>
              <w:t>3</w:t>
            </w:r>
            <w:r>
              <w:rPr>
                <w:rFonts w:ascii="宋体" w:hAnsi="宋体" w:cs="宋体" w:hint="eastAsia"/>
                <w:kern w:val="0"/>
                <w:sz w:val="18"/>
                <w:szCs w:val="18"/>
                <w:u w:val="single"/>
              </w:rPr>
              <w:t>0000</w:t>
            </w:r>
            <w:r>
              <w:rPr>
                <w:rFonts w:ascii="宋体" w:hAnsi="宋体" w:cs="宋体" w:hint="eastAsia"/>
                <w:kern w:val="0"/>
                <w:sz w:val="18"/>
                <w:szCs w:val="18"/>
              </w:rPr>
              <w:t>万元</w:t>
            </w:r>
          </w:p>
        </w:tc>
      </w:tr>
      <w:tr w:rsidR="00956D5E">
        <w:trPr>
          <w:trHeight w:val="435"/>
          <w:jc w:val="center"/>
        </w:trPr>
        <w:tc>
          <w:tcPr>
            <w:tcW w:w="2808" w:type="dxa"/>
            <w:vAlign w:val="center"/>
          </w:tcPr>
          <w:p w:rsidR="00956D5E" w:rsidRDefault="00956D5E">
            <w:pPr>
              <w:spacing w:line="46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募集时间</w:t>
            </w:r>
          </w:p>
        </w:tc>
        <w:tc>
          <w:tcPr>
            <w:tcW w:w="6840" w:type="dxa"/>
            <w:gridSpan w:val="4"/>
            <w:vAlign w:val="center"/>
          </w:tcPr>
          <w:p w:rsidR="00956D5E" w:rsidRDefault="00956D5E" w:rsidP="001E4CE2">
            <w:pPr>
              <w:spacing w:line="280" w:lineRule="exact"/>
              <w:rPr>
                <w:rFonts w:ascii="宋体" w:hAnsi="宋体" w:cs="宋体" w:hint="eastAsia"/>
                <w:color w:val="FF0000"/>
                <w:kern w:val="0"/>
                <w:sz w:val="18"/>
                <w:szCs w:val="18"/>
              </w:rPr>
            </w:pPr>
            <w:r>
              <w:rPr>
                <w:rFonts w:ascii="宋体" w:hAnsi="宋体" w:cs="宋体" w:hint="eastAsia"/>
                <w:color w:val="FF0000"/>
                <w:kern w:val="0"/>
                <w:sz w:val="18"/>
                <w:szCs w:val="18"/>
                <w:u w:val="single"/>
              </w:rPr>
              <w:t>2015</w:t>
            </w:r>
            <w:r>
              <w:rPr>
                <w:rFonts w:ascii="宋体" w:hAnsi="宋体" w:cs="宋体" w:hint="eastAsia"/>
                <w:color w:val="FF0000"/>
                <w:kern w:val="0"/>
                <w:sz w:val="18"/>
                <w:szCs w:val="18"/>
              </w:rPr>
              <w:t>年</w:t>
            </w:r>
            <w:r w:rsidR="001E4CE2">
              <w:rPr>
                <w:rFonts w:ascii="宋体" w:hAnsi="宋体" w:cs="宋体" w:hint="eastAsia"/>
                <w:color w:val="FF0000"/>
                <w:kern w:val="0"/>
                <w:sz w:val="18"/>
                <w:szCs w:val="18"/>
                <w:u w:val="single"/>
              </w:rPr>
              <w:t>7</w:t>
            </w:r>
            <w:r>
              <w:rPr>
                <w:rFonts w:ascii="宋体" w:hAnsi="宋体" w:cs="宋体" w:hint="eastAsia"/>
                <w:color w:val="FF0000"/>
                <w:kern w:val="0"/>
                <w:sz w:val="18"/>
                <w:szCs w:val="18"/>
              </w:rPr>
              <w:t>月</w:t>
            </w:r>
            <w:r w:rsidR="001E4CE2">
              <w:rPr>
                <w:rFonts w:ascii="宋体" w:hAnsi="宋体" w:cs="宋体" w:hint="eastAsia"/>
                <w:color w:val="FF0000"/>
                <w:kern w:val="0"/>
                <w:sz w:val="18"/>
                <w:szCs w:val="18"/>
              </w:rPr>
              <w:t>3</w:t>
            </w:r>
            <w:r>
              <w:rPr>
                <w:rFonts w:ascii="宋体" w:hAnsi="宋体" w:cs="宋体" w:hint="eastAsia"/>
                <w:color w:val="FF0000"/>
                <w:kern w:val="0"/>
                <w:sz w:val="18"/>
                <w:szCs w:val="18"/>
              </w:rPr>
              <w:t>日至</w:t>
            </w:r>
            <w:r>
              <w:rPr>
                <w:rFonts w:ascii="宋体" w:hAnsi="宋体" w:cs="宋体" w:hint="eastAsia"/>
                <w:color w:val="FF0000"/>
                <w:kern w:val="0"/>
                <w:sz w:val="18"/>
                <w:szCs w:val="18"/>
                <w:u w:val="single"/>
              </w:rPr>
              <w:t>2015</w:t>
            </w:r>
            <w:r>
              <w:rPr>
                <w:rFonts w:ascii="宋体" w:hAnsi="宋体" w:cs="宋体" w:hint="eastAsia"/>
                <w:color w:val="FF0000"/>
                <w:kern w:val="0"/>
                <w:sz w:val="18"/>
                <w:szCs w:val="18"/>
              </w:rPr>
              <w:t>年</w:t>
            </w:r>
            <w:r w:rsidR="001E4CE2">
              <w:rPr>
                <w:rFonts w:ascii="宋体" w:hAnsi="宋体" w:cs="宋体" w:hint="eastAsia"/>
                <w:color w:val="FF0000"/>
                <w:kern w:val="0"/>
                <w:sz w:val="18"/>
                <w:szCs w:val="18"/>
                <w:u w:val="single"/>
              </w:rPr>
              <w:t>7</w:t>
            </w:r>
            <w:r>
              <w:rPr>
                <w:rFonts w:ascii="宋体" w:hAnsi="宋体" w:cs="宋体" w:hint="eastAsia"/>
                <w:color w:val="FF0000"/>
                <w:kern w:val="0"/>
                <w:sz w:val="18"/>
                <w:szCs w:val="18"/>
              </w:rPr>
              <w:t>月</w:t>
            </w:r>
            <w:r w:rsidR="001E4CE2">
              <w:rPr>
                <w:rFonts w:ascii="宋体" w:hAnsi="宋体" w:cs="宋体" w:hint="eastAsia"/>
                <w:color w:val="FF0000"/>
                <w:kern w:val="0"/>
                <w:sz w:val="18"/>
                <w:szCs w:val="18"/>
              </w:rPr>
              <w:t>8</w:t>
            </w:r>
            <w:r>
              <w:rPr>
                <w:rFonts w:ascii="宋体" w:hAnsi="宋体" w:cs="宋体" w:hint="eastAsia"/>
                <w:color w:val="FF0000"/>
                <w:kern w:val="0"/>
                <w:sz w:val="18"/>
                <w:szCs w:val="18"/>
              </w:rPr>
              <w:t>日</w:t>
            </w:r>
          </w:p>
        </w:tc>
      </w:tr>
      <w:tr w:rsidR="00956D5E">
        <w:trPr>
          <w:trHeight w:val="364"/>
          <w:jc w:val="center"/>
        </w:trPr>
        <w:tc>
          <w:tcPr>
            <w:tcW w:w="2808" w:type="dxa"/>
            <w:vMerge w:val="restart"/>
            <w:vAlign w:val="center"/>
          </w:tcPr>
          <w:p w:rsidR="00956D5E" w:rsidRDefault="00956D5E">
            <w:pPr>
              <w:spacing w:line="460" w:lineRule="exact"/>
              <w:jc w:val="center"/>
              <w:rPr>
                <w:rFonts w:eastAsia="仿宋_GB2312" w:hint="eastAsia"/>
                <w:spacing w:val="6"/>
                <w:szCs w:val="21"/>
              </w:rPr>
            </w:pPr>
            <w:r>
              <w:rPr>
                <w:rFonts w:ascii="宋体" w:hAnsi="宋体" w:cs="宋体" w:hint="eastAsia"/>
                <w:b/>
                <w:spacing w:val="6"/>
                <w:kern w:val="0"/>
                <w:szCs w:val="21"/>
              </w:rPr>
              <w:t>认购</w:t>
            </w:r>
            <w:r>
              <w:rPr>
                <w:rFonts w:ascii="宋体" w:hAnsi="宋体" w:cs="宋体"/>
                <w:b/>
                <w:spacing w:val="6"/>
                <w:kern w:val="0"/>
                <w:szCs w:val="21"/>
              </w:rPr>
              <w:t>起点</w:t>
            </w:r>
            <w:r>
              <w:rPr>
                <w:rFonts w:ascii="宋体" w:hAnsi="宋体" w:cs="宋体" w:hint="eastAsia"/>
                <w:b/>
                <w:spacing w:val="6"/>
                <w:kern w:val="0"/>
                <w:szCs w:val="21"/>
              </w:rPr>
              <w:t>金额</w:t>
            </w:r>
          </w:p>
        </w:tc>
        <w:tc>
          <w:tcPr>
            <w:tcW w:w="6840" w:type="dxa"/>
            <w:gridSpan w:val="4"/>
            <w:vAlign w:val="center"/>
          </w:tcPr>
          <w:p w:rsidR="00956D5E" w:rsidRDefault="00956D5E">
            <w:pPr>
              <w:spacing w:line="280" w:lineRule="exact"/>
              <w:rPr>
                <w:rFonts w:ascii="宋体" w:hAnsi="宋体" w:cs="宋体" w:hint="eastAsia"/>
                <w:kern w:val="0"/>
                <w:sz w:val="18"/>
                <w:szCs w:val="18"/>
              </w:rPr>
            </w:pPr>
            <w:r>
              <w:rPr>
                <w:rFonts w:ascii="宋体" w:hAnsi="宋体" w:cs="宋体" w:hint="eastAsia"/>
                <w:kern w:val="0"/>
                <w:sz w:val="18"/>
                <w:szCs w:val="18"/>
              </w:rPr>
              <w:t>个人投资者：</w:t>
            </w:r>
            <w:r>
              <w:rPr>
                <w:rFonts w:ascii="宋体" w:hAnsi="宋体" w:cs="宋体" w:hint="eastAsia"/>
                <w:kern w:val="0"/>
                <w:sz w:val="18"/>
                <w:szCs w:val="18"/>
                <w:u w:val="single"/>
              </w:rPr>
              <w:t>5</w:t>
            </w:r>
            <w:r>
              <w:rPr>
                <w:rFonts w:ascii="宋体" w:hAnsi="宋体" w:cs="宋体" w:hint="eastAsia"/>
                <w:kern w:val="0"/>
                <w:sz w:val="18"/>
                <w:szCs w:val="18"/>
              </w:rPr>
              <w:t>万元，以</w:t>
            </w:r>
            <w:r>
              <w:rPr>
                <w:rFonts w:ascii="宋体" w:hAnsi="宋体" w:cs="宋体" w:hint="eastAsia"/>
                <w:kern w:val="0"/>
                <w:sz w:val="18"/>
                <w:szCs w:val="18"/>
                <w:u w:val="single"/>
              </w:rPr>
              <w:t>1000</w:t>
            </w:r>
            <w:r>
              <w:rPr>
                <w:rFonts w:ascii="宋体" w:hAnsi="宋体" w:cs="宋体" w:hint="eastAsia"/>
                <w:kern w:val="0"/>
                <w:sz w:val="18"/>
                <w:szCs w:val="18"/>
              </w:rPr>
              <w:t>元整数倍递增。</w:t>
            </w:r>
          </w:p>
        </w:tc>
      </w:tr>
      <w:tr w:rsidR="00956D5E">
        <w:trPr>
          <w:trHeight w:val="435"/>
          <w:jc w:val="center"/>
        </w:trPr>
        <w:tc>
          <w:tcPr>
            <w:tcW w:w="2808" w:type="dxa"/>
            <w:vMerge/>
            <w:vAlign w:val="center"/>
          </w:tcPr>
          <w:p w:rsidR="00956D5E" w:rsidRDefault="00956D5E">
            <w:pPr>
              <w:spacing w:line="460" w:lineRule="exact"/>
              <w:jc w:val="center"/>
              <w:rPr>
                <w:rFonts w:ascii="宋体" w:hAnsi="宋体" w:cs="宋体" w:hint="eastAsia"/>
                <w:b/>
                <w:spacing w:val="6"/>
                <w:kern w:val="0"/>
                <w:szCs w:val="21"/>
              </w:rPr>
            </w:pPr>
          </w:p>
        </w:tc>
        <w:tc>
          <w:tcPr>
            <w:tcW w:w="6840" w:type="dxa"/>
            <w:gridSpan w:val="4"/>
            <w:vAlign w:val="center"/>
          </w:tcPr>
          <w:p w:rsidR="00956D5E" w:rsidRDefault="00956D5E">
            <w:pPr>
              <w:spacing w:line="280" w:lineRule="exact"/>
              <w:rPr>
                <w:rFonts w:ascii="宋体" w:hAnsi="宋体" w:cs="宋体" w:hint="eastAsia"/>
                <w:kern w:val="0"/>
                <w:sz w:val="18"/>
                <w:szCs w:val="18"/>
              </w:rPr>
            </w:pPr>
            <w:r>
              <w:rPr>
                <w:rFonts w:ascii="宋体" w:hAnsi="宋体" w:cs="宋体" w:hint="eastAsia"/>
                <w:kern w:val="0"/>
                <w:sz w:val="18"/>
                <w:szCs w:val="18"/>
              </w:rPr>
              <w:t>机构投资者：</w:t>
            </w:r>
            <w:r>
              <w:rPr>
                <w:rFonts w:ascii="宋体" w:hAnsi="宋体" w:cs="宋体" w:hint="eastAsia"/>
                <w:kern w:val="0"/>
                <w:sz w:val="18"/>
                <w:szCs w:val="18"/>
                <w:u w:val="single"/>
              </w:rPr>
              <w:t>20</w:t>
            </w:r>
            <w:r>
              <w:rPr>
                <w:rFonts w:ascii="宋体" w:hAnsi="宋体" w:cs="宋体" w:hint="eastAsia"/>
                <w:kern w:val="0"/>
                <w:sz w:val="18"/>
                <w:szCs w:val="18"/>
              </w:rPr>
              <w:t>万元，以</w:t>
            </w:r>
            <w:r>
              <w:rPr>
                <w:rFonts w:ascii="宋体" w:hAnsi="宋体" w:cs="宋体" w:hint="eastAsia"/>
                <w:kern w:val="0"/>
                <w:sz w:val="18"/>
                <w:szCs w:val="18"/>
                <w:u w:val="single"/>
              </w:rPr>
              <w:t>1000</w:t>
            </w:r>
            <w:r>
              <w:rPr>
                <w:rFonts w:ascii="宋体" w:hAnsi="宋体" w:cs="宋体" w:hint="eastAsia"/>
                <w:kern w:val="0"/>
                <w:sz w:val="18"/>
                <w:szCs w:val="18"/>
              </w:rPr>
              <w:t>元整数倍递增。</w:t>
            </w:r>
          </w:p>
        </w:tc>
      </w:tr>
      <w:tr w:rsidR="00956D5E">
        <w:trPr>
          <w:trHeight w:val="1468"/>
          <w:jc w:val="center"/>
        </w:trPr>
        <w:tc>
          <w:tcPr>
            <w:tcW w:w="2808" w:type="dxa"/>
            <w:vAlign w:val="center"/>
          </w:tcPr>
          <w:p w:rsidR="00956D5E" w:rsidRDefault="00956D5E">
            <w:pPr>
              <w:spacing w:line="46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产品成立</w:t>
            </w:r>
          </w:p>
        </w:tc>
        <w:tc>
          <w:tcPr>
            <w:tcW w:w="6840" w:type="dxa"/>
            <w:gridSpan w:val="4"/>
            <w:vAlign w:val="center"/>
          </w:tcPr>
          <w:p w:rsidR="00956D5E" w:rsidRDefault="00956D5E">
            <w:pPr>
              <w:spacing w:line="280" w:lineRule="exact"/>
              <w:ind w:firstLineChars="200" w:firstLine="360"/>
              <w:rPr>
                <w:rFonts w:ascii="宋体" w:hAnsi="宋体" w:cs="宋体" w:hint="eastAsia"/>
                <w:kern w:val="0"/>
                <w:sz w:val="18"/>
                <w:szCs w:val="18"/>
              </w:rPr>
            </w:pPr>
            <w:r>
              <w:rPr>
                <w:rFonts w:ascii="宋体" w:hAnsi="宋体" w:cs="宋体" w:hint="eastAsia"/>
                <w:kern w:val="0"/>
                <w:sz w:val="18"/>
                <w:szCs w:val="18"/>
              </w:rPr>
              <w:t>产品起始日，发行范围投资人产品预购达到发行规模产品成立，产品最终规模以实际发行但不超过发行规模上限为准。</w:t>
            </w:r>
          </w:p>
          <w:p w:rsidR="00956D5E" w:rsidRDefault="00956D5E">
            <w:pPr>
              <w:spacing w:line="280" w:lineRule="exact"/>
              <w:ind w:firstLineChars="200" w:firstLine="360"/>
              <w:rPr>
                <w:rFonts w:ascii="宋体" w:hAnsi="宋体" w:cs="宋体" w:hint="eastAsia"/>
                <w:kern w:val="0"/>
                <w:sz w:val="18"/>
                <w:szCs w:val="18"/>
              </w:rPr>
            </w:pPr>
            <w:r>
              <w:rPr>
                <w:rFonts w:ascii="宋体" w:hAnsi="宋体" w:cs="宋体" w:hint="eastAsia"/>
                <w:kern w:val="0"/>
                <w:sz w:val="18"/>
                <w:szCs w:val="18"/>
              </w:rPr>
              <w:t>产品起始日，发行范围投资人产品预购未达到发行规模下限，产品发行人有权宣布产品不成立，并于募集时间结束后三个工作日内将投资人预购本金退还至投资人约定交易账户。</w:t>
            </w:r>
          </w:p>
        </w:tc>
      </w:tr>
      <w:tr w:rsidR="00956D5E">
        <w:trPr>
          <w:trHeight w:val="966"/>
          <w:jc w:val="center"/>
        </w:trPr>
        <w:tc>
          <w:tcPr>
            <w:tcW w:w="2808" w:type="dxa"/>
            <w:vAlign w:val="center"/>
          </w:tcPr>
          <w:p w:rsidR="00956D5E" w:rsidRDefault="00956D5E">
            <w:pPr>
              <w:spacing w:line="46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投资人认购成功/失败</w:t>
            </w:r>
          </w:p>
        </w:tc>
        <w:tc>
          <w:tcPr>
            <w:tcW w:w="6840" w:type="dxa"/>
            <w:gridSpan w:val="4"/>
            <w:vAlign w:val="center"/>
          </w:tcPr>
          <w:p w:rsidR="00956D5E" w:rsidRDefault="00956D5E">
            <w:pPr>
              <w:spacing w:line="280" w:lineRule="exact"/>
              <w:ind w:firstLineChars="200" w:firstLine="360"/>
              <w:rPr>
                <w:rFonts w:ascii="宋体" w:hAnsi="宋体" w:cs="宋体" w:hint="eastAsia"/>
                <w:kern w:val="0"/>
                <w:sz w:val="18"/>
                <w:szCs w:val="18"/>
              </w:rPr>
            </w:pPr>
            <w:r>
              <w:rPr>
                <w:rFonts w:ascii="宋体" w:hAnsi="宋体" w:cs="宋体" w:hint="eastAsia"/>
                <w:kern w:val="0"/>
                <w:sz w:val="18"/>
                <w:szCs w:val="18"/>
              </w:rPr>
              <w:t>产品起始日，发行人按发行范围投资人理财产品预购先后顺序和发行规模上限确定投资人认购成功或失败。投资人认购失败的，产品发行人将于募集时间结束后三个工作日内将投资人理财产品预购本金退还至投资人约定交易账户。</w:t>
            </w:r>
          </w:p>
        </w:tc>
      </w:tr>
      <w:tr w:rsidR="00956D5E">
        <w:trPr>
          <w:trHeight w:val="435"/>
          <w:jc w:val="center"/>
        </w:trPr>
        <w:tc>
          <w:tcPr>
            <w:tcW w:w="2808" w:type="dxa"/>
            <w:vAlign w:val="center"/>
          </w:tcPr>
          <w:p w:rsidR="00956D5E" w:rsidRDefault="00956D5E">
            <w:pPr>
              <w:spacing w:line="46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投资本金和收益到账日</w:t>
            </w:r>
          </w:p>
        </w:tc>
        <w:tc>
          <w:tcPr>
            <w:tcW w:w="6840" w:type="dxa"/>
            <w:gridSpan w:val="4"/>
            <w:vAlign w:val="center"/>
          </w:tcPr>
          <w:p w:rsidR="00956D5E" w:rsidRDefault="00956D5E">
            <w:pPr>
              <w:spacing w:line="280" w:lineRule="exact"/>
              <w:ind w:firstLine="34"/>
              <w:rPr>
                <w:rFonts w:ascii="宋体" w:hAnsi="宋体" w:cs="宋体" w:hint="eastAsia"/>
                <w:kern w:val="0"/>
                <w:sz w:val="18"/>
                <w:szCs w:val="18"/>
              </w:rPr>
            </w:pPr>
            <w:r>
              <w:rPr>
                <w:rFonts w:ascii="宋体" w:hAnsi="宋体" w:cs="宋体" w:hint="eastAsia"/>
                <w:kern w:val="0"/>
                <w:sz w:val="18"/>
                <w:szCs w:val="18"/>
                <w:u w:val="single"/>
              </w:rPr>
              <w:t>到期一次性</w:t>
            </w:r>
            <w:r>
              <w:rPr>
                <w:rFonts w:ascii="宋体" w:hAnsi="宋体" w:cs="宋体" w:hint="eastAsia"/>
                <w:kern w:val="0"/>
                <w:sz w:val="18"/>
                <w:szCs w:val="18"/>
              </w:rPr>
              <w:t>支付收益；投资本金及</w:t>
            </w:r>
            <w:r>
              <w:rPr>
                <w:rFonts w:ascii="宋体" w:hAnsi="宋体" w:cs="宋体" w:hint="eastAsia"/>
                <w:kern w:val="0"/>
                <w:sz w:val="18"/>
                <w:szCs w:val="18"/>
                <w:u w:val="single"/>
              </w:rPr>
              <w:t>全部</w:t>
            </w:r>
            <w:r>
              <w:rPr>
                <w:rFonts w:ascii="宋体" w:hAnsi="宋体" w:cs="宋体" w:hint="eastAsia"/>
                <w:kern w:val="0"/>
                <w:sz w:val="18"/>
                <w:szCs w:val="18"/>
              </w:rPr>
              <w:t>收益于到期日或提前终止后的三个工作日内（如遇节假日顺延）支付。</w:t>
            </w:r>
          </w:p>
        </w:tc>
      </w:tr>
      <w:tr w:rsidR="00956D5E">
        <w:trPr>
          <w:trHeight w:val="435"/>
          <w:jc w:val="center"/>
        </w:trPr>
        <w:tc>
          <w:tcPr>
            <w:tcW w:w="2808" w:type="dxa"/>
            <w:vAlign w:val="center"/>
          </w:tcPr>
          <w:p w:rsidR="00956D5E" w:rsidRDefault="00956D5E">
            <w:pPr>
              <w:spacing w:line="46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理财资产托管人</w:t>
            </w:r>
          </w:p>
        </w:tc>
        <w:tc>
          <w:tcPr>
            <w:tcW w:w="6840" w:type="dxa"/>
            <w:gridSpan w:val="4"/>
            <w:vAlign w:val="center"/>
          </w:tcPr>
          <w:p w:rsidR="00956D5E" w:rsidRDefault="00956D5E">
            <w:pPr>
              <w:spacing w:line="280" w:lineRule="exact"/>
              <w:rPr>
                <w:rFonts w:ascii="宋体" w:hAnsi="宋体" w:cs="宋体" w:hint="eastAsia"/>
                <w:kern w:val="0"/>
                <w:sz w:val="18"/>
                <w:szCs w:val="18"/>
              </w:rPr>
            </w:pPr>
            <w:r>
              <w:rPr>
                <w:rFonts w:ascii="宋体" w:hAnsi="宋体" w:cs="宋体" w:hint="eastAsia"/>
                <w:kern w:val="0"/>
                <w:sz w:val="18"/>
                <w:szCs w:val="18"/>
                <w:u w:val="single"/>
              </w:rPr>
              <w:t>兴业银行</w:t>
            </w:r>
          </w:p>
        </w:tc>
      </w:tr>
      <w:tr w:rsidR="00956D5E">
        <w:trPr>
          <w:trHeight w:val="435"/>
          <w:jc w:val="center"/>
        </w:trPr>
        <w:tc>
          <w:tcPr>
            <w:tcW w:w="2808" w:type="dxa"/>
            <w:vAlign w:val="center"/>
          </w:tcPr>
          <w:p w:rsidR="00956D5E" w:rsidRDefault="00956D5E">
            <w:pPr>
              <w:spacing w:line="46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产品预期最高年化收益率</w:t>
            </w:r>
          </w:p>
        </w:tc>
        <w:tc>
          <w:tcPr>
            <w:tcW w:w="6840" w:type="dxa"/>
            <w:gridSpan w:val="4"/>
            <w:vAlign w:val="center"/>
          </w:tcPr>
          <w:p w:rsidR="00956D5E" w:rsidRDefault="00956D5E">
            <w:pPr>
              <w:spacing w:line="280" w:lineRule="exact"/>
              <w:rPr>
                <w:rFonts w:ascii="宋体" w:hAnsi="宋体" w:cs="宋体" w:hint="eastAsia"/>
                <w:color w:val="FF0000"/>
                <w:kern w:val="0"/>
                <w:sz w:val="18"/>
                <w:szCs w:val="18"/>
              </w:rPr>
            </w:pPr>
            <w:r>
              <w:rPr>
                <w:rFonts w:ascii="宋体" w:hAnsi="宋体" w:cs="宋体" w:hint="eastAsia"/>
                <w:color w:val="FF0000"/>
                <w:kern w:val="0"/>
                <w:sz w:val="18"/>
                <w:szCs w:val="18"/>
                <w:u w:val="single"/>
              </w:rPr>
              <w:t>4.8</w:t>
            </w:r>
            <w:r>
              <w:rPr>
                <w:rFonts w:ascii="宋体" w:hAnsi="宋体" w:cs="宋体" w:hint="eastAsia"/>
                <w:color w:val="FF0000"/>
                <w:kern w:val="0"/>
                <w:sz w:val="18"/>
                <w:szCs w:val="18"/>
              </w:rPr>
              <w:t>%</w:t>
            </w:r>
          </w:p>
        </w:tc>
      </w:tr>
      <w:tr w:rsidR="00956D5E">
        <w:trPr>
          <w:trHeight w:val="1268"/>
          <w:jc w:val="center"/>
        </w:trPr>
        <w:tc>
          <w:tcPr>
            <w:tcW w:w="2808" w:type="dxa"/>
            <w:vAlign w:val="center"/>
          </w:tcPr>
          <w:p w:rsidR="00956D5E" w:rsidRDefault="00956D5E">
            <w:pPr>
              <w:spacing w:line="440" w:lineRule="exact"/>
              <w:jc w:val="center"/>
              <w:rPr>
                <w:rFonts w:ascii="宋体" w:hAnsi="宋体" w:cs="宋体"/>
                <w:b/>
                <w:spacing w:val="6"/>
                <w:kern w:val="0"/>
                <w:szCs w:val="21"/>
              </w:rPr>
            </w:pPr>
            <w:r>
              <w:rPr>
                <w:rFonts w:ascii="宋体" w:hAnsi="宋体" w:cs="宋体" w:hint="eastAsia"/>
                <w:b/>
                <w:spacing w:val="6"/>
                <w:kern w:val="0"/>
                <w:szCs w:val="21"/>
              </w:rPr>
              <w:t>理财资产托管费率(年)</w:t>
            </w:r>
          </w:p>
        </w:tc>
        <w:tc>
          <w:tcPr>
            <w:tcW w:w="1140" w:type="dxa"/>
            <w:gridSpan w:val="2"/>
            <w:vAlign w:val="center"/>
          </w:tcPr>
          <w:p w:rsidR="00956D5E" w:rsidRDefault="00956D5E">
            <w:pPr>
              <w:spacing w:line="280" w:lineRule="exact"/>
              <w:rPr>
                <w:rFonts w:ascii="宋体" w:hAnsi="宋体" w:cs="宋体" w:hint="eastAsia"/>
                <w:kern w:val="0"/>
                <w:sz w:val="18"/>
                <w:szCs w:val="18"/>
              </w:rPr>
            </w:pPr>
            <w:r>
              <w:rPr>
                <w:rFonts w:ascii="宋体" w:hAnsi="宋体" w:cs="宋体" w:hint="eastAsia"/>
                <w:kern w:val="0"/>
                <w:sz w:val="18"/>
                <w:szCs w:val="18"/>
                <w:u w:val="single"/>
              </w:rPr>
              <w:t>0.03</w:t>
            </w:r>
            <w:r>
              <w:rPr>
                <w:rFonts w:ascii="宋体" w:hAnsi="宋体" w:cs="宋体" w:hint="eastAsia"/>
                <w:kern w:val="0"/>
                <w:sz w:val="18"/>
                <w:szCs w:val="18"/>
              </w:rPr>
              <w:t>%</w:t>
            </w:r>
          </w:p>
        </w:tc>
        <w:tc>
          <w:tcPr>
            <w:tcW w:w="5700" w:type="dxa"/>
            <w:gridSpan w:val="2"/>
            <w:vMerge w:val="restart"/>
            <w:vAlign w:val="center"/>
          </w:tcPr>
          <w:p w:rsidR="00956D5E" w:rsidRDefault="00956D5E">
            <w:pPr>
              <w:spacing w:line="280" w:lineRule="exact"/>
              <w:ind w:left="28" w:firstLineChars="158" w:firstLine="284"/>
              <w:rPr>
                <w:rFonts w:ascii="宋体" w:hAnsi="宋体" w:cs="宋体" w:hint="eastAsia"/>
                <w:kern w:val="0"/>
                <w:sz w:val="18"/>
                <w:szCs w:val="18"/>
              </w:rPr>
            </w:pPr>
            <w:r>
              <w:rPr>
                <w:rFonts w:ascii="宋体" w:hAnsi="宋体" w:cs="宋体" w:hint="eastAsia"/>
                <w:kern w:val="0"/>
                <w:sz w:val="18"/>
                <w:szCs w:val="18"/>
              </w:rPr>
              <w:t>产品发行人、产品销售行按以下规则收取投资人理财资产托管费、销售手续费：</w:t>
            </w:r>
          </w:p>
          <w:p w:rsidR="00956D5E" w:rsidRDefault="00956D5E">
            <w:pPr>
              <w:numPr>
                <w:ilvl w:val="0"/>
                <w:numId w:val="1"/>
              </w:numPr>
              <w:spacing w:line="280" w:lineRule="exact"/>
              <w:rPr>
                <w:rFonts w:ascii="宋体" w:hAnsi="宋体" w:cs="宋体" w:hint="eastAsia"/>
                <w:kern w:val="0"/>
                <w:sz w:val="18"/>
                <w:szCs w:val="18"/>
              </w:rPr>
            </w:pPr>
            <w:r>
              <w:rPr>
                <w:rFonts w:ascii="宋体" w:hAnsi="宋体" w:cs="宋体" w:hint="eastAsia"/>
                <w:kern w:val="0"/>
                <w:sz w:val="18"/>
                <w:szCs w:val="18"/>
              </w:rPr>
              <w:t>(产品实际年化收益率-产品预期最高年化收益率)＞0时，产品发行人代收投资人的理财资产托管费，产品销售行（社）收取投资人的销售手续费。</w:t>
            </w:r>
          </w:p>
          <w:p w:rsidR="00956D5E" w:rsidRDefault="00956D5E">
            <w:pPr>
              <w:numPr>
                <w:ilvl w:val="0"/>
                <w:numId w:val="1"/>
              </w:numPr>
              <w:spacing w:line="280" w:lineRule="exact"/>
              <w:rPr>
                <w:rFonts w:ascii="宋体" w:hAnsi="宋体" w:cs="宋体" w:hint="eastAsia"/>
                <w:kern w:val="0"/>
                <w:sz w:val="18"/>
                <w:szCs w:val="18"/>
              </w:rPr>
            </w:pPr>
            <w:r>
              <w:rPr>
                <w:rFonts w:ascii="宋体" w:hAnsi="宋体" w:cs="宋体" w:hint="eastAsia"/>
                <w:kern w:val="0"/>
                <w:sz w:val="18"/>
                <w:szCs w:val="18"/>
              </w:rPr>
              <w:t>(产品实际年化收益率≤产品预期最高年化收益率) 时，产品发行人承担投资人的理财资产托管费，产品销售行（社）不收取投资人的销售手续费。</w:t>
            </w:r>
          </w:p>
          <w:p w:rsidR="00956D5E" w:rsidRDefault="00956D5E">
            <w:pPr>
              <w:numPr>
                <w:ilvl w:val="0"/>
                <w:numId w:val="1"/>
              </w:numPr>
              <w:spacing w:line="280" w:lineRule="exact"/>
              <w:ind w:left="357" w:hanging="357"/>
              <w:rPr>
                <w:rFonts w:ascii="宋体" w:hAnsi="宋体" w:cs="宋体" w:hint="eastAsia"/>
                <w:spacing w:val="-4"/>
                <w:kern w:val="0"/>
                <w:sz w:val="18"/>
                <w:szCs w:val="18"/>
              </w:rPr>
            </w:pPr>
            <w:r>
              <w:rPr>
                <w:rFonts w:ascii="宋体" w:hAnsi="宋体" w:cs="宋体" w:hint="eastAsia"/>
                <w:spacing w:val="-4"/>
                <w:kern w:val="0"/>
                <w:sz w:val="18"/>
                <w:szCs w:val="18"/>
              </w:rPr>
              <w:t>产品实际年化收益率</w:t>
            </w:r>
            <w:r>
              <w:rPr>
                <w:rFonts w:ascii="宋体" w:hAnsi="宋体" w:cs="宋体" w:hint="eastAsia"/>
                <w:kern w:val="0"/>
                <w:sz w:val="18"/>
                <w:szCs w:val="18"/>
              </w:rPr>
              <w:t>≤</w:t>
            </w:r>
            <w:r>
              <w:rPr>
                <w:rFonts w:ascii="宋体" w:hAnsi="宋体" w:cs="宋体" w:hint="eastAsia"/>
                <w:spacing w:val="-4"/>
                <w:kern w:val="0"/>
                <w:sz w:val="18"/>
                <w:szCs w:val="18"/>
              </w:rPr>
              <w:t>0时,产品发行人承担投资人的理财资产托管费,产品销售行(社)不收取投资人的销售手续费。</w:t>
            </w:r>
          </w:p>
        </w:tc>
      </w:tr>
      <w:tr w:rsidR="00956D5E">
        <w:trPr>
          <w:trHeight w:val="435"/>
          <w:jc w:val="center"/>
        </w:trPr>
        <w:tc>
          <w:tcPr>
            <w:tcW w:w="2808" w:type="dxa"/>
            <w:vAlign w:val="center"/>
          </w:tcPr>
          <w:p w:rsidR="00956D5E" w:rsidRDefault="00956D5E">
            <w:pPr>
              <w:spacing w:line="440" w:lineRule="exact"/>
              <w:jc w:val="center"/>
              <w:rPr>
                <w:rFonts w:ascii="宋体" w:hAnsi="宋体" w:cs="宋体"/>
                <w:b/>
                <w:spacing w:val="6"/>
                <w:kern w:val="0"/>
                <w:szCs w:val="21"/>
              </w:rPr>
            </w:pPr>
            <w:r>
              <w:rPr>
                <w:rFonts w:ascii="宋体" w:hAnsi="宋体" w:cs="宋体" w:hint="eastAsia"/>
                <w:b/>
                <w:spacing w:val="6"/>
                <w:kern w:val="0"/>
                <w:szCs w:val="21"/>
              </w:rPr>
              <w:t>销售手续费率（年）</w:t>
            </w:r>
          </w:p>
        </w:tc>
        <w:tc>
          <w:tcPr>
            <w:tcW w:w="1140" w:type="dxa"/>
            <w:gridSpan w:val="2"/>
            <w:vAlign w:val="center"/>
          </w:tcPr>
          <w:p w:rsidR="00956D5E" w:rsidRDefault="00956D5E">
            <w:pPr>
              <w:spacing w:line="280" w:lineRule="exact"/>
              <w:rPr>
                <w:rFonts w:ascii="宋体" w:hAnsi="宋体" w:cs="宋体" w:hint="eastAsia"/>
                <w:kern w:val="0"/>
                <w:sz w:val="18"/>
                <w:szCs w:val="18"/>
              </w:rPr>
            </w:pPr>
            <w:r>
              <w:rPr>
                <w:rFonts w:ascii="宋体" w:hAnsi="宋体" w:cs="宋体" w:hint="eastAsia"/>
                <w:kern w:val="0"/>
                <w:sz w:val="18"/>
                <w:szCs w:val="18"/>
                <w:u w:val="single"/>
              </w:rPr>
              <w:t>0.3</w:t>
            </w:r>
            <w:r>
              <w:rPr>
                <w:rFonts w:ascii="宋体" w:hAnsi="宋体" w:cs="宋体" w:hint="eastAsia"/>
                <w:kern w:val="0"/>
                <w:sz w:val="18"/>
                <w:szCs w:val="18"/>
              </w:rPr>
              <w:t xml:space="preserve"> %</w:t>
            </w:r>
          </w:p>
        </w:tc>
        <w:tc>
          <w:tcPr>
            <w:tcW w:w="5700" w:type="dxa"/>
            <w:gridSpan w:val="2"/>
            <w:vMerge/>
            <w:vAlign w:val="center"/>
          </w:tcPr>
          <w:p w:rsidR="00956D5E" w:rsidRDefault="00956D5E">
            <w:pPr>
              <w:spacing w:line="280" w:lineRule="exact"/>
              <w:rPr>
                <w:rFonts w:ascii="宋体" w:hAnsi="宋体" w:cs="宋体" w:hint="eastAsia"/>
                <w:kern w:val="0"/>
                <w:sz w:val="18"/>
                <w:szCs w:val="18"/>
              </w:rPr>
            </w:pPr>
          </w:p>
        </w:tc>
      </w:tr>
      <w:tr w:rsidR="00956D5E">
        <w:trPr>
          <w:trHeight w:val="985"/>
          <w:jc w:val="center"/>
        </w:trPr>
        <w:tc>
          <w:tcPr>
            <w:tcW w:w="2808" w:type="dxa"/>
            <w:vAlign w:val="center"/>
          </w:tcPr>
          <w:p w:rsidR="00956D5E" w:rsidRDefault="00956D5E">
            <w:pPr>
              <w:spacing w:line="44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lastRenderedPageBreak/>
              <w:t>理财业务管理费率（年）</w:t>
            </w:r>
          </w:p>
        </w:tc>
        <w:tc>
          <w:tcPr>
            <w:tcW w:w="6840" w:type="dxa"/>
            <w:gridSpan w:val="4"/>
            <w:vAlign w:val="center"/>
          </w:tcPr>
          <w:p w:rsidR="00956D5E" w:rsidRDefault="00956D5E">
            <w:pPr>
              <w:spacing w:line="280" w:lineRule="exact"/>
              <w:ind w:firstLineChars="200" w:firstLine="360"/>
              <w:rPr>
                <w:rFonts w:ascii="宋体" w:hAnsi="宋体" w:cs="宋体" w:hint="eastAsia"/>
                <w:kern w:val="0"/>
                <w:sz w:val="18"/>
                <w:szCs w:val="18"/>
              </w:rPr>
            </w:pPr>
            <w:r>
              <w:rPr>
                <w:rFonts w:ascii="宋体" w:hAnsi="宋体" w:cs="宋体" w:hint="eastAsia"/>
                <w:kern w:val="0"/>
                <w:sz w:val="18"/>
                <w:szCs w:val="18"/>
              </w:rPr>
              <w:t>产品发行人按以下规则收取投资人理财业务管理费率：产品实际年化收益率-产品预期最高年化收益率-理财资产托管费(年)-销售手续费(年)的剩余部分。</w:t>
            </w:r>
          </w:p>
        </w:tc>
      </w:tr>
      <w:tr w:rsidR="00956D5E">
        <w:trPr>
          <w:trHeight w:val="701"/>
          <w:jc w:val="center"/>
        </w:trPr>
        <w:tc>
          <w:tcPr>
            <w:tcW w:w="2808" w:type="dxa"/>
            <w:vAlign w:val="center"/>
          </w:tcPr>
          <w:p w:rsidR="00956D5E" w:rsidRDefault="00956D5E">
            <w:pPr>
              <w:spacing w:line="440" w:lineRule="exact"/>
              <w:jc w:val="center"/>
              <w:rPr>
                <w:rFonts w:eastAsia="仿宋_GB2312" w:hint="eastAsia"/>
                <w:spacing w:val="6"/>
                <w:szCs w:val="21"/>
              </w:rPr>
            </w:pPr>
            <w:r>
              <w:rPr>
                <w:rFonts w:ascii="宋体" w:hAnsi="宋体" w:cs="宋体" w:hint="eastAsia"/>
                <w:b/>
                <w:spacing w:val="6"/>
                <w:kern w:val="0"/>
                <w:szCs w:val="21"/>
              </w:rPr>
              <w:t>提前终止权或产品延期权</w:t>
            </w:r>
          </w:p>
        </w:tc>
        <w:tc>
          <w:tcPr>
            <w:tcW w:w="6840" w:type="dxa"/>
            <w:gridSpan w:val="4"/>
            <w:vAlign w:val="center"/>
          </w:tcPr>
          <w:p w:rsidR="00956D5E" w:rsidRDefault="00956D5E">
            <w:pPr>
              <w:spacing w:line="280" w:lineRule="exact"/>
              <w:ind w:firstLineChars="200" w:firstLine="360"/>
              <w:rPr>
                <w:rFonts w:ascii="宋体" w:hAnsi="宋体" w:cs="宋体" w:hint="eastAsia"/>
                <w:kern w:val="0"/>
                <w:sz w:val="18"/>
                <w:szCs w:val="18"/>
              </w:rPr>
            </w:pPr>
            <w:r>
              <w:rPr>
                <w:rFonts w:ascii="宋体" w:hAnsi="宋体" w:cs="宋体" w:hint="eastAsia"/>
                <w:kern w:val="0"/>
                <w:sz w:val="18"/>
                <w:szCs w:val="18"/>
              </w:rPr>
              <w:t>投资人无权提前终止产品；产品发行人有权按照产品投资实际情况，提前终止产品，</w:t>
            </w:r>
            <w:r>
              <w:rPr>
                <w:rFonts w:ascii="宋体" w:hAnsi="宋体" w:cs="宋体" w:hint="eastAsia"/>
                <w:color w:val="FF0000"/>
                <w:kern w:val="0"/>
                <w:sz w:val="18"/>
                <w:szCs w:val="18"/>
              </w:rPr>
              <w:t>有权决定是否将产品期限延长，</w:t>
            </w:r>
            <w:r>
              <w:rPr>
                <w:rFonts w:ascii="宋体" w:hAnsi="宋体" w:cs="宋体" w:hint="eastAsia"/>
                <w:kern w:val="0"/>
                <w:sz w:val="18"/>
                <w:szCs w:val="18"/>
              </w:rPr>
              <w:t>并提前终止(</w:t>
            </w:r>
            <w:r>
              <w:rPr>
                <w:rFonts w:ascii="宋体" w:hAnsi="宋体" w:cs="宋体" w:hint="eastAsia"/>
                <w:color w:val="FF0000"/>
                <w:kern w:val="0"/>
                <w:sz w:val="18"/>
                <w:szCs w:val="18"/>
              </w:rPr>
              <w:t>或产品期限延长)</w:t>
            </w:r>
            <w:r>
              <w:rPr>
                <w:rFonts w:ascii="宋体" w:hAnsi="宋体" w:cs="宋体" w:hint="eastAsia"/>
                <w:kern w:val="0"/>
                <w:sz w:val="18"/>
                <w:szCs w:val="18"/>
              </w:rPr>
              <w:t>日前五个工作日内发布信息公告。</w:t>
            </w:r>
          </w:p>
        </w:tc>
      </w:tr>
      <w:tr w:rsidR="00956D5E">
        <w:trPr>
          <w:trHeight w:val="540"/>
          <w:jc w:val="center"/>
        </w:trPr>
        <w:tc>
          <w:tcPr>
            <w:tcW w:w="2808" w:type="dxa"/>
            <w:vAlign w:val="center"/>
          </w:tcPr>
          <w:p w:rsidR="00956D5E" w:rsidRDefault="00956D5E">
            <w:pPr>
              <w:spacing w:line="440" w:lineRule="exact"/>
              <w:ind w:firstLine="34"/>
              <w:jc w:val="center"/>
              <w:rPr>
                <w:rFonts w:ascii="宋体" w:hAnsi="宋体" w:cs="宋体" w:hint="eastAsia"/>
                <w:b/>
                <w:spacing w:val="6"/>
                <w:kern w:val="0"/>
                <w:szCs w:val="21"/>
              </w:rPr>
            </w:pPr>
            <w:r>
              <w:rPr>
                <w:rFonts w:ascii="宋体" w:hAnsi="宋体" w:cs="宋体" w:hint="eastAsia"/>
                <w:b/>
                <w:spacing w:val="6"/>
                <w:kern w:val="0"/>
                <w:szCs w:val="21"/>
              </w:rPr>
              <w:t>工作日</w:t>
            </w:r>
          </w:p>
        </w:tc>
        <w:tc>
          <w:tcPr>
            <w:tcW w:w="6840" w:type="dxa"/>
            <w:gridSpan w:val="4"/>
            <w:vAlign w:val="center"/>
          </w:tcPr>
          <w:p w:rsidR="00956D5E" w:rsidRDefault="00956D5E">
            <w:pPr>
              <w:spacing w:line="280" w:lineRule="exact"/>
              <w:ind w:firstLine="34"/>
              <w:rPr>
                <w:rFonts w:ascii="宋体" w:hAnsi="宋体" w:cs="宋体" w:hint="eastAsia"/>
                <w:kern w:val="0"/>
                <w:sz w:val="18"/>
                <w:szCs w:val="18"/>
              </w:rPr>
            </w:pPr>
            <w:r>
              <w:rPr>
                <w:rFonts w:ascii="宋体" w:hAnsi="宋体" w:cs="宋体" w:hint="eastAsia"/>
                <w:kern w:val="0"/>
                <w:sz w:val="18"/>
                <w:szCs w:val="18"/>
              </w:rPr>
              <w:t>国家法定工作日。</w:t>
            </w:r>
          </w:p>
        </w:tc>
      </w:tr>
      <w:tr w:rsidR="00956D5E">
        <w:trPr>
          <w:trHeight w:val="619"/>
          <w:jc w:val="center"/>
        </w:trPr>
        <w:tc>
          <w:tcPr>
            <w:tcW w:w="2808" w:type="dxa"/>
            <w:vAlign w:val="center"/>
          </w:tcPr>
          <w:p w:rsidR="00956D5E" w:rsidRDefault="00956D5E">
            <w:pPr>
              <w:widowControl/>
              <w:spacing w:line="440" w:lineRule="exact"/>
              <w:jc w:val="center"/>
              <w:rPr>
                <w:rFonts w:ascii="宋体" w:hAnsi="宋体" w:cs="宋体"/>
                <w:b/>
                <w:spacing w:val="6"/>
                <w:kern w:val="0"/>
                <w:szCs w:val="21"/>
              </w:rPr>
            </w:pPr>
            <w:r>
              <w:rPr>
                <w:rFonts w:ascii="宋体" w:hAnsi="宋体" w:cs="宋体"/>
                <w:b/>
                <w:spacing w:val="6"/>
                <w:kern w:val="0"/>
                <w:szCs w:val="21"/>
              </w:rPr>
              <w:t>税款缴付</w:t>
            </w:r>
          </w:p>
        </w:tc>
        <w:tc>
          <w:tcPr>
            <w:tcW w:w="6840" w:type="dxa"/>
            <w:gridSpan w:val="4"/>
            <w:vAlign w:val="center"/>
          </w:tcPr>
          <w:p w:rsidR="00956D5E" w:rsidRDefault="00956D5E">
            <w:pPr>
              <w:widowControl/>
              <w:spacing w:line="280" w:lineRule="exact"/>
              <w:rPr>
                <w:rFonts w:ascii="宋体" w:hAnsi="宋体" w:cs="宋体" w:hint="eastAsia"/>
                <w:kern w:val="0"/>
                <w:sz w:val="18"/>
                <w:szCs w:val="18"/>
              </w:rPr>
            </w:pPr>
            <w:r>
              <w:rPr>
                <w:rFonts w:ascii="宋体" w:hAnsi="宋体" w:cs="宋体" w:hint="eastAsia"/>
                <w:kern w:val="0"/>
                <w:sz w:val="18"/>
                <w:szCs w:val="18"/>
              </w:rPr>
              <w:t xml:space="preserve">理财收益的应纳税款由投资者自行申报及缴纳。 </w:t>
            </w:r>
          </w:p>
        </w:tc>
      </w:tr>
      <w:tr w:rsidR="00956D5E">
        <w:trPr>
          <w:trHeight w:val="940"/>
          <w:jc w:val="center"/>
        </w:trPr>
        <w:tc>
          <w:tcPr>
            <w:tcW w:w="2808" w:type="dxa"/>
            <w:vAlign w:val="center"/>
          </w:tcPr>
          <w:p w:rsidR="00956D5E" w:rsidRDefault="00956D5E">
            <w:pPr>
              <w:spacing w:line="440" w:lineRule="exact"/>
              <w:jc w:val="center"/>
              <w:rPr>
                <w:rFonts w:eastAsia="仿宋_GB2312" w:hint="eastAsia"/>
                <w:spacing w:val="6"/>
                <w:szCs w:val="21"/>
              </w:rPr>
            </w:pPr>
            <w:r>
              <w:rPr>
                <w:rFonts w:ascii="宋体" w:hAnsi="宋体" w:cs="宋体" w:hint="eastAsia"/>
                <w:b/>
                <w:spacing w:val="6"/>
                <w:kern w:val="0"/>
                <w:szCs w:val="21"/>
              </w:rPr>
              <w:t>其他规定</w:t>
            </w:r>
          </w:p>
        </w:tc>
        <w:tc>
          <w:tcPr>
            <w:tcW w:w="6840" w:type="dxa"/>
            <w:gridSpan w:val="4"/>
            <w:vAlign w:val="center"/>
          </w:tcPr>
          <w:p w:rsidR="00956D5E" w:rsidRDefault="00956D5E">
            <w:pPr>
              <w:spacing w:line="280" w:lineRule="exact"/>
              <w:ind w:firstLineChars="200" w:firstLine="360"/>
              <w:rPr>
                <w:rFonts w:ascii="宋体" w:hAnsi="宋体" w:cs="宋体" w:hint="eastAsia"/>
                <w:kern w:val="0"/>
                <w:sz w:val="18"/>
                <w:szCs w:val="18"/>
              </w:rPr>
            </w:pPr>
            <w:r>
              <w:rPr>
                <w:rFonts w:ascii="宋体" w:hAnsi="宋体" w:cs="宋体" w:hint="eastAsia"/>
                <w:kern w:val="0"/>
                <w:sz w:val="18"/>
                <w:szCs w:val="18"/>
              </w:rPr>
              <w:t xml:space="preserve">募集时间内，投资人资金按照活期存款利息计息，利息不计入投资份额。产品到期日（或提前终止日）至投资本金和收益到账日之间，投资人资金不计收益。 </w:t>
            </w:r>
          </w:p>
        </w:tc>
      </w:tr>
    </w:tbl>
    <w:p w:rsidR="00956D5E" w:rsidRDefault="00956D5E">
      <w:pPr>
        <w:widowControl/>
        <w:spacing w:afterLines="50" w:line="440" w:lineRule="exact"/>
        <w:ind w:firstLineChars="200" w:firstLine="561"/>
        <w:jc w:val="left"/>
        <w:rPr>
          <w:rFonts w:ascii="华文细黑" w:eastAsia="华文细黑" w:hAnsi="华文细黑" w:cs="宋体" w:hint="eastAsia"/>
          <w:b/>
          <w:bCs/>
          <w:kern w:val="0"/>
          <w:sz w:val="28"/>
          <w:szCs w:val="28"/>
        </w:rPr>
      </w:pPr>
      <w:r>
        <w:rPr>
          <w:rFonts w:ascii="华文细黑" w:eastAsia="华文细黑" w:hAnsi="华文细黑" w:cs="宋体" w:hint="eastAsia"/>
          <w:b/>
          <w:bCs/>
          <w:kern w:val="0"/>
          <w:sz w:val="28"/>
          <w:szCs w:val="28"/>
        </w:rPr>
        <w:t>二、投资对象</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资金募集后投资对象为上饶农商银行（委托人）委托兴业银行或省联社资金业务部或其他符合监管规定的金融机构将理财资金进行投资，投资范围包括但不限于货币市场工具、同业存放及银行间资金融通工具、国债、政策性金融债、央行票据、短期融资券、中期票据、企业债、公司债等银行间、交易所市场债券及债务融资工具、其他固定收益类金融产品和符合监管机构规定的定向资产管理计划、信托计划（收益权）、股票收益权、定向资产管理等其他金融资产及其组合。</w:t>
      </w:r>
    </w:p>
    <w:p w:rsidR="00956D5E" w:rsidRDefault="00956D5E">
      <w:pPr>
        <w:widowControl/>
        <w:spacing w:afterLines="50" w:line="440" w:lineRule="exact"/>
        <w:ind w:firstLineChars="200" w:firstLine="561"/>
        <w:jc w:val="left"/>
        <w:rPr>
          <w:rFonts w:ascii="华文细黑" w:eastAsia="华文细黑" w:hAnsi="华文细黑" w:cs="宋体" w:hint="eastAsia"/>
          <w:b/>
          <w:bCs/>
          <w:kern w:val="0"/>
          <w:sz w:val="28"/>
          <w:szCs w:val="28"/>
        </w:rPr>
      </w:pPr>
      <w:r>
        <w:rPr>
          <w:rFonts w:ascii="华文细黑" w:eastAsia="华文细黑" w:hAnsi="华文细黑" w:cs="宋体" w:hint="eastAsia"/>
          <w:b/>
          <w:bCs/>
          <w:kern w:val="0"/>
          <w:sz w:val="28"/>
          <w:szCs w:val="28"/>
        </w:rPr>
        <w:t>三、产品收益测算与支付</w:t>
      </w:r>
    </w:p>
    <w:p w:rsidR="00956D5E" w:rsidRDefault="00956D5E">
      <w:pPr>
        <w:widowControl/>
        <w:snapToGrid w:val="0"/>
        <w:spacing w:line="360" w:lineRule="exact"/>
        <w:ind w:firstLineChars="200" w:firstLine="420"/>
        <w:jc w:val="left"/>
        <w:rPr>
          <w:rFonts w:ascii="华文楷体" w:eastAsia="华文楷体" w:hAnsi="华文楷体" w:cs="宋体" w:hint="eastAsia"/>
          <w:b/>
          <w:kern w:val="0"/>
          <w:szCs w:val="21"/>
        </w:rPr>
      </w:pPr>
      <w:r>
        <w:rPr>
          <w:rFonts w:ascii="华文楷体" w:eastAsia="华文楷体" w:hAnsi="华文楷体" w:cs="宋体" w:hint="eastAsia"/>
          <w:b/>
          <w:kern w:val="0"/>
          <w:szCs w:val="21"/>
        </w:rPr>
        <w:t>（一） 理财资金所承担的相关费用</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1、理财资产托管费率(年)   </w:t>
      </w:r>
      <w:r>
        <w:rPr>
          <w:rFonts w:ascii="宋体" w:hAnsi="宋体" w:cs="宋体" w:hint="eastAsia"/>
          <w:kern w:val="0"/>
          <w:szCs w:val="21"/>
          <w:u w:val="single"/>
        </w:rPr>
        <w:t>0.03</w:t>
      </w:r>
      <w:r>
        <w:rPr>
          <w:rFonts w:ascii="宋体" w:hAnsi="宋体" w:cs="宋体" w:hint="eastAsia"/>
          <w:kern w:val="0"/>
          <w:szCs w:val="21"/>
        </w:rPr>
        <w:t>%</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2、销售手续费率（年）     </w:t>
      </w:r>
      <w:r>
        <w:rPr>
          <w:rFonts w:ascii="宋体" w:hAnsi="宋体" w:cs="宋体" w:hint="eastAsia"/>
          <w:kern w:val="0"/>
          <w:szCs w:val="21"/>
          <w:u w:val="single"/>
        </w:rPr>
        <w:t xml:space="preserve"> 0.3 </w:t>
      </w:r>
      <w:r>
        <w:rPr>
          <w:rFonts w:ascii="宋体" w:hAnsi="宋体" w:cs="宋体" w:hint="eastAsia"/>
          <w:kern w:val="0"/>
          <w:szCs w:val="21"/>
        </w:rPr>
        <w:t xml:space="preserve"> %</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3、理财业务管理费率（年）：产品实际年化收益率-产品预期最高年化收益率-理财资产托管费(年)-销售手续费(年)的剩余部分。</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华文楷体" w:eastAsia="华文楷体" w:hAnsi="华文楷体" w:cs="宋体" w:hint="eastAsia"/>
          <w:b/>
          <w:kern w:val="0"/>
          <w:szCs w:val="21"/>
        </w:rPr>
        <w:t>（二）投资人年化收益率</w:t>
      </w:r>
      <w:r>
        <w:rPr>
          <w:rFonts w:ascii="宋体" w:hAnsi="宋体" w:cs="宋体" w:hint="eastAsia"/>
          <w:kern w:val="0"/>
          <w:szCs w:val="21"/>
        </w:rPr>
        <w:t xml:space="preserve">   </w:t>
      </w:r>
    </w:p>
    <w:p w:rsidR="00956D5E" w:rsidRDefault="00956D5E">
      <w:pPr>
        <w:widowControl/>
        <w:snapToGrid w:val="0"/>
        <w:spacing w:line="360" w:lineRule="exact"/>
        <w:ind w:firstLineChars="200" w:firstLine="420"/>
        <w:jc w:val="left"/>
        <w:rPr>
          <w:rFonts w:ascii="宋体" w:hAnsi="宋体" w:cs="宋体" w:hint="eastAsia"/>
          <w:color w:val="FF0000"/>
          <w:kern w:val="0"/>
          <w:szCs w:val="21"/>
        </w:rPr>
      </w:pPr>
      <w:r>
        <w:rPr>
          <w:rFonts w:ascii="宋体" w:hAnsi="宋体" w:cs="宋体" w:hint="eastAsia"/>
          <w:kern w:val="0"/>
          <w:szCs w:val="21"/>
        </w:rPr>
        <w:t>产品预期最高年化收益率</w:t>
      </w:r>
      <w:r>
        <w:rPr>
          <w:rFonts w:ascii="宋体" w:hAnsi="宋体" w:cs="宋体" w:hint="eastAsia"/>
          <w:color w:val="FF0000"/>
          <w:kern w:val="0"/>
          <w:szCs w:val="21"/>
          <w:u w:val="single"/>
        </w:rPr>
        <w:t>4.8</w:t>
      </w:r>
      <w:r>
        <w:rPr>
          <w:rFonts w:ascii="宋体" w:hAnsi="宋体" w:cs="宋体" w:hint="eastAsia"/>
          <w:color w:val="FF0000"/>
          <w:kern w:val="0"/>
          <w:szCs w:val="21"/>
        </w:rPr>
        <w:t>%</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华文楷体" w:eastAsia="华文楷体" w:hAnsi="华文楷体" w:cs="宋体" w:hint="eastAsia"/>
          <w:b/>
          <w:kern w:val="0"/>
          <w:szCs w:val="21"/>
        </w:rPr>
        <w:t>（三）投资人收益计算公式</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(1)预期收益＝投资本金×产品预期最高年化收益率×产品实际存续天数/365</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(2)实际收益＝投资本金×</w:t>
      </w:r>
      <w:r>
        <w:rPr>
          <w:rFonts w:ascii="宋体" w:hAnsi="宋体" w:cs="宋体" w:hint="eastAsia"/>
          <w:spacing w:val="-4"/>
          <w:kern w:val="0"/>
          <w:szCs w:val="21"/>
        </w:rPr>
        <w:t>产品实际年化收益率</w:t>
      </w:r>
      <w:r>
        <w:rPr>
          <w:rFonts w:ascii="宋体" w:hAnsi="宋体" w:cs="宋体" w:hint="eastAsia"/>
          <w:kern w:val="0"/>
          <w:szCs w:val="21"/>
        </w:rPr>
        <w:t>×产品实际存续天数/365</w:t>
      </w:r>
    </w:p>
    <w:p w:rsidR="00956D5E" w:rsidRDefault="00956D5E">
      <w:pPr>
        <w:widowControl/>
        <w:snapToGrid w:val="0"/>
        <w:spacing w:line="360" w:lineRule="exact"/>
        <w:ind w:firstLineChars="200" w:firstLine="420"/>
        <w:jc w:val="left"/>
        <w:rPr>
          <w:rFonts w:ascii="楷体_GB2312" w:eastAsia="楷体_GB2312" w:hAnsi="宋体" w:cs="宋体" w:hint="eastAsia"/>
          <w:b/>
          <w:kern w:val="0"/>
          <w:szCs w:val="21"/>
        </w:rPr>
      </w:pPr>
      <w:r>
        <w:rPr>
          <w:rFonts w:ascii="华文楷体" w:eastAsia="华文楷体" w:hAnsi="华文楷体" w:cs="宋体" w:hint="eastAsia"/>
          <w:b/>
          <w:kern w:val="0"/>
          <w:szCs w:val="21"/>
        </w:rPr>
        <w:t>（四）情景模拟分析</w:t>
      </w:r>
    </w:p>
    <w:p w:rsidR="00956D5E" w:rsidRDefault="00956D5E">
      <w:pPr>
        <w:widowControl/>
        <w:snapToGrid w:val="0"/>
        <w:spacing w:line="360" w:lineRule="exact"/>
        <w:ind w:firstLineChars="200" w:firstLine="420"/>
        <w:rPr>
          <w:rFonts w:ascii="宋体" w:hAnsi="宋体" w:cs="宋体" w:hint="eastAsia"/>
          <w:kern w:val="0"/>
          <w:szCs w:val="21"/>
        </w:rPr>
      </w:pPr>
      <w:r>
        <w:rPr>
          <w:rFonts w:ascii="宋体" w:hAnsi="宋体" w:cs="宋体"/>
          <w:kern w:val="0"/>
          <w:szCs w:val="21"/>
        </w:rPr>
        <w:t>在不发生信用风险及其他风险的情况下，投资人可按照产品约定的收益计算方法</w:t>
      </w:r>
      <w:r>
        <w:rPr>
          <w:rFonts w:ascii="宋体" w:hAnsi="宋体" w:cs="宋体" w:hint="eastAsia"/>
          <w:kern w:val="0"/>
          <w:szCs w:val="21"/>
        </w:rPr>
        <w:t>获</w:t>
      </w:r>
      <w:r>
        <w:rPr>
          <w:rFonts w:ascii="宋体" w:hAnsi="宋体" w:cs="宋体"/>
          <w:kern w:val="0"/>
          <w:szCs w:val="21"/>
        </w:rPr>
        <w:t>得相应的投资收益。在发生信用风险或其他风险等各种投资风险最不利的情况下，投资人收益可能无法达到产品约定的</w:t>
      </w:r>
      <w:r>
        <w:rPr>
          <w:rFonts w:ascii="宋体" w:hAnsi="宋体" w:cs="宋体" w:hint="eastAsia"/>
          <w:kern w:val="0"/>
          <w:szCs w:val="21"/>
        </w:rPr>
        <w:t>收益率</w:t>
      </w:r>
      <w:r>
        <w:rPr>
          <w:rFonts w:ascii="宋体" w:hAnsi="宋体" w:cs="宋体"/>
          <w:kern w:val="0"/>
          <w:szCs w:val="21"/>
        </w:rPr>
        <w:t>，可能发生理财</w:t>
      </w:r>
      <w:r>
        <w:rPr>
          <w:rFonts w:ascii="宋体" w:hAnsi="宋体" w:cs="宋体" w:hint="eastAsia"/>
          <w:kern w:val="0"/>
          <w:szCs w:val="21"/>
        </w:rPr>
        <w:t>本金和</w:t>
      </w:r>
      <w:r>
        <w:rPr>
          <w:rFonts w:ascii="宋体" w:hAnsi="宋体" w:cs="宋体"/>
          <w:kern w:val="0"/>
          <w:szCs w:val="21"/>
        </w:rPr>
        <w:t>收益延期支付。此种情况下，</w:t>
      </w:r>
      <w:r>
        <w:rPr>
          <w:rFonts w:ascii="宋体" w:hAnsi="宋体" w:cs="宋体" w:hint="eastAsia"/>
          <w:kern w:val="0"/>
          <w:szCs w:val="21"/>
        </w:rPr>
        <w:t>产品发行人</w:t>
      </w:r>
      <w:r>
        <w:rPr>
          <w:rFonts w:ascii="宋体" w:hAnsi="宋体" w:cs="宋体"/>
          <w:kern w:val="0"/>
          <w:szCs w:val="21"/>
        </w:rPr>
        <w:t>会依照有关法律约定或</w:t>
      </w:r>
      <w:r>
        <w:rPr>
          <w:rFonts w:ascii="宋体" w:hAnsi="宋体" w:cs="宋体" w:hint="eastAsia"/>
          <w:kern w:val="0"/>
          <w:szCs w:val="21"/>
        </w:rPr>
        <w:t>产品销售协议</w:t>
      </w:r>
      <w:r>
        <w:rPr>
          <w:rFonts w:ascii="宋体" w:hAnsi="宋体" w:cs="宋体"/>
          <w:kern w:val="0"/>
          <w:szCs w:val="21"/>
        </w:rPr>
        <w:t>约定向有关责任方行使追索权。</w:t>
      </w:r>
      <w:r>
        <w:rPr>
          <w:rFonts w:ascii="宋体" w:hAnsi="宋体" w:cs="宋体" w:hint="eastAsia"/>
          <w:kern w:val="0"/>
          <w:szCs w:val="21"/>
        </w:rPr>
        <w:t>以下情景模拟分析均为模拟数据，测算收益不等于实际收益，投资须谨慎。</w:t>
      </w:r>
    </w:p>
    <w:p w:rsidR="00956D5E" w:rsidRDefault="00956D5E">
      <w:pPr>
        <w:widowControl/>
        <w:snapToGrid w:val="0"/>
        <w:spacing w:line="360" w:lineRule="exact"/>
        <w:ind w:firstLineChars="200" w:firstLine="422"/>
        <w:jc w:val="left"/>
        <w:rPr>
          <w:rFonts w:ascii="宋体" w:hAnsi="宋体" w:cs="宋体" w:hint="eastAsia"/>
          <w:kern w:val="0"/>
          <w:szCs w:val="21"/>
        </w:rPr>
      </w:pPr>
      <w:r>
        <w:rPr>
          <w:rFonts w:ascii="宋体" w:hAnsi="宋体" w:cs="宋体" w:hint="eastAsia"/>
          <w:b/>
          <w:kern w:val="0"/>
          <w:szCs w:val="21"/>
        </w:rPr>
        <w:t>情景1：</w:t>
      </w:r>
      <w:r>
        <w:rPr>
          <w:rFonts w:ascii="宋体" w:hAnsi="宋体" w:cs="宋体" w:hint="eastAsia"/>
          <w:kern w:val="0"/>
          <w:szCs w:val="21"/>
        </w:rPr>
        <w:t>以某投资人投资10万元为例，假设产品实际存续天数为20天，产品实际年化收益率为2.5%，理财资产托管费率0.1%，销售手续费率0.1%,产品预期最高年化收益率为2.1%。</w:t>
      </w:r>
    </w:p>
    <w:p w:rsidR="00956D5E" w:rsidRDefault="00956D5E">
      <w:pPr>
        <w:spacing w:line="360" w:lineRule="exact"/>
        <w:ind w:firstLineChars="200" w:firstLine="420"/>
        <w:rPr>
          <w:rFonts w:ascii="宋体" w:hAnsi="宋体" w:cs="宋体" w:hint="eastAsia"/>
          <w:kern w:val="0"/>
          <w:szCs w:val="21"/>
        </w:rPr>
      </w:pPr>
      <w:r>
        <w:rPr>
          <w:rFonts w:ascii="宋体" w:hAnsi="宋体" w:cs="宋体" w:hint="eastAsia"/>
          <w:kern w:val="0"/>
          <w:szCs w:val="21"/>
        </w:rPr>
        <w:t>产品实际年化收益率≥产品预期最高年化收益率时，投资人实际年化收益率=产品预期最高年化收益率；销售行（社）按约定收取销售手续费；产品发行人按约定收取理财业务管理费和代收理财资产托管费。</w:t>
      </w:r>
    </w:p>
    <w:p w:rsidR="00956D5E" w:rsidRDefault="00956D5E">
      <w:pPr>
        <w:spacing w:line="360" w:lineRule="exact"/>
        <w:ind w:firstLineChars="200" w:firstLine="420"/>
        <w:rPr>
          <w:rFonts w:ascii="宋体" w:hAnsi="宋体" w:cs="宋体" w:hint="eastAsia"/>
          <w:kern w:val="0"/>
          <w:szCs w:val="21"/>
        </w:rPr>
      </w:pPr>
      <w:r>
        <w:rPr>
          <w:rFonts w:ascii="宋体" w:hAnsi="宋体" w:cs="宋体" w:hint="eastAsia"/>
          <w:kern w:val="0"/>
          <w:szCs w:val="21"/>
        </w:rPr>
        <w:t>保证收益、保本浮动收益、非保本浮动收益投资人投资收益为：100000×2.1%×20/365=115.07（元）</w:t>
      </w:r>
    </w:p>
    <w:p w:rsidR="00956D5E" w:rsidRDefault="00956D5E">
      <w:pPr>
        <w:widowControl/>
        <w:snapToGrid w:val="0"/>
        <w:spacing w:line="360" w:lineRule="exact"/>
        <w:ind w:firstLineChars="200" w:firstLine="422"/>
        <w:jc w:val="left"/>
        <w:rPr>
          <w:rFonts w:ascii="宋体" w:hAnsi="宋体" w:cs="宋体" w:hint="eastAsia"/>
          <w:kern w:val="0"/>
          <w:szCs w:val="21"/>
        </w:rPr>
      </w:pPr>
      <w:r>
        <w:rPr>
          <w:rFonts w:ascii="宋体" w:hAnsi="宋体" w:cs="宋体" w:hint="eastAsia"/>
          <w:b/>
          <w:kern w:val="0"/>
          <w:szCs w:val="21"/>
        </w:rPr>
        <w:lastRenderedPageBreak/>
        <w:t>情景2：</w:t>
      </w:r>
      <w:r>
        <w:rPr>
          <w:rFonts w:ascii="宋体" w:hAnsi="宋体" w:cs="宋体" w:hint="eastAsia"/>
          <w:kern w:val="0"/>
          <w:szCs w:val="21"/>
        </w:rPr>
        <w:t>以某投资人投资10万元为例，假设产品实际存续天数为30天，产品实际年化收益率为2.3%，理财资产托管费率0.1%，销售手续费率0.1%,产品预期最高年化收益率为2.5%。</w:t>
      </w:r>
    </w:p>
    <w:p w:rsidR="00956D5E" w:rsidRDefault="00956D5E">
      <w:pPr>
        <w:widowControl/>
        <w:snapToGrid w:val="0"/>
        <w:spacing w:line="360" w:lineRule="exact"/>
        <w:ind w:firstLineChars="200" w:firstLine="404"/>
        <w:jc w:val="left"/>
        <w:rPr>
          <w:rFonts w:ascii="宋体" w:hAnsi="宋体" w:cs="宋体" w:hint="eastAsia"/>
          <w:spacing w:val="-4"/>
          <w:kern w:val="0"/>
          <w:szCs w:val="21"/>
        </w:rPr>
      </w:pPr>
      <w:r>
        <w:rPr>
          <w:rFonts w:ascii="宋体" w:hAnsi="宋体" w:cs="宋体" w:hint="eastAsia"/>
          <w:spacing w:val="-4"/>
          <w:kern w:val="0"/>
          <w:szCs w:val="21"/>
        </w:rPr>
        <w:t>0＜产品实际年化收益率＜产品预期最高年化收益率时，销售行(社)不收取投资人销售手续费；产品发行人承担理财产品托管费，且不收取投资人理财业务管理费。</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保证收益投资人投资收益为：100000×2.5%×30/365=205.48（元）。</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保本浮动收益、非保本浮动收益投资人投资收益为：</w:t>
      </w:r>
      <w:bookmarkStart w:id="0" w:name="OLE_LINK1"/>
      <w:r>
        <w:rPr>
          <w:rFonts w:ascii="宋体" w:hAnsi="宋体" w:cs="宋体" w:hint="eastAsia"/>
          <w:kern w:val="0"/>
          <w:szCs w:val="21"/>
        </w:rPr>
        <w:t>100000×2.3%×30/365</w:t>
      </w:r>
      <w:bookmarkEnd w:id="0"/>
      <w:r>
        <w:rPr>
          <w:rFonts w:ascii="宋体" w:hAnsi="宋体" w:cs="宋体" w:hint="eastAsia"/>
          <w:kern w:val="0"/>
          <w:szCs w:val="21"/>
        </w:rPr>
        <w:t>=189.04（元）。</w:t>
      </w:r>
    </w:p>
    <w:p w:rsidR="00956D5E" w:rsidRDefault="00956D5E">
      <w:pPr>
        <w:widowControl/>
        <w:snapToGrid w:val="0"/>
        <w:spacing w:line="360" w:lineRule="exact"/>
        <w:ind w:firstLineChars="200" w:firstLine="422"/>
        <w:jc w:val="left"/>
        <w:rPr>
          <w:rFonts w:ascii="宋体" w:hAnsi="宋体" w:cs="宋体" w:hint="eastAsia"/>
          <w:kern w:val="0"/>
          <w:szCs w:val="21"/>
        </w:rPr>
      </w:pPr>
      <w:r>
        <w:rPr>
          <w:rFonts w:ascii="宋体" w:hAnsi="宋体" w:cs="宋体" w:hint="eastAsia"/>
          <w:b/>
          <w:kern w:val="0"/>
          <w:szCs w:val="21"/>
        </w:rPr>
        <w:t>情景3：</w:t>
      </w:r>
      <w:r>
        <w:rPr>
          <w:rFonts w:ascii="宋体" w:hAnsi="宋体" w:cs="宋体" w:hint="eastAsia"/>
          <w:kern w:val="0"/>
          <w:szCs w:val="21"/>
        </w:rPr>
        <w:t>以某投资人投资10万元为例，假设产品实际存续天数为40天，产品实际年化收益率为0%，理财资产托管费率0.1%，销售手续费率0.1%,产品预期最高年化收益率为2.5%。</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产品实际年化收益率=0时，销售行（社）不收取投资人销售手续费；产品发行人承担理财产品托管费，且不收取投资人理财业务管理费。</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保证收益投资人投资收益为：100000×2.5%×40/365=273.97（元）。</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保本浮动收益、非保本浮动收益投资人投资收益，100000×0%×40/365=0（元）</w:t>
      </w:r>
    </w:p>
    <w:p w:rsidR="00956D5E" w:rsidRDefault="00956D5E">
      <w:pPr>
        <w:pStyle w:val="a5"/>
        <w:spacing w:line="380" w:lineRule="exact"/>
        <w:ind w:firstLineChars="196" w:firstLine="413"/>
        <w:rPr>
          <w:rFonts w:ascii="宋体" w:hAnsi="宋体" w:cs="宋体" w:hint="eastAsia"/>
          <w:kern w:val="0"/>
          <w:szCs w:val="21"/>
        </w:rPr>
      </w:pPr>
      <w:r>
        <w:rPr>
          <w:rFonts w:ascii="宋体" w:hAnsi="宋体" w:cs="宋体" w:hint="eastAsia"/>
          <w:b/>
          <w:kern w:val="0"/>
          <w:szCs w:val="21"/>
        </w:rPr>
        <w:t>情景4</w:t>
      </w:r>
      <w:r>
        <w:rPr>
          <w:rFonts w:ascii="宋体" w:hAnsi="宋体" w:cs="宋体" w:hint="eastAsia"/>
          <w:kern w:val="0"/>
          <w:szCs w:val="21"/>
        </w:rPr>
        <w:t>：若理财产品运作期间，该理财产品投资标的出现各类风险，则保本浮动收益客户可能无法获得约定的参考年化净收益率，非保本浮动收益型理财产品甚至会出现客户的投资本金将遭受部分或全部损失的情况。</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华文楷体" w:eastAsia="华文楷体" w:hAnsi="华文楷体" w:cs="宋体" w:hint="eastAsia"/>
          <w:b/>
          <w:kern w:val="0"/>
          <w:szCs w:val="21"/>
        </w:rPr>
        <w:t>（五）理财资金兑付</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本理财产品</w:t>
      </w:r>
      <w:r>
        <w:rPr>
          <w:rFonts w:ascii="宋体" w:hAnsi="宋体" w:cs="宋体" w:hint="eastAsia"/>
          <w:kern w:val="0"/>
          <w:szCs w:val="21"/>
          <w:u w:val="single"/>
        </w:rPr>
        <w:t>到期一次性</w:t>
      </w:r>
      <w:r>
        <w:rPr>
          <w:rFonts w:ascii="宋体" w:hAnsi="宋体" w:cs="宋体" w:hint="eastAsia"/>
          <w:kern w:val="0"/>
          <w:szCs w:val="21"/>
        </w:rPr>
        <w:t>支付收益；投资本金及</w:t>
      </w:r>
      <w:r>
        <w:rPr>
          <w:rFonts w:ascii="宋体" w:hAnsi="宋体" w:cs="宋体" w:hint="eastAsia"/>
          <w:kern w:val="0"/>
          <w:szCs w:val="21"/>
          <w:u w:val="single"/>
        </w:rPr>
        <w:t>全部</w:t>
      </w:r>
      <w:r>
        <w:rPr>
          <w:rFonts w:ascii="宋体" w:hAnsi="宋体" w:cs="宋体" w:hint="eastAsia"/>
          <w:kern w:val="0"/>
          <w:szCs w:val="21"/>
        </w:rPr>
        <w:t>收益于到期日或提前终止后的三个工作日内（如遇节假日顺延）划转至投资人约定交易账户。</w:t>
      </w:r>
    </w:p>
    <w:p w:rsidR="00956D5E" w:rsidRDefault="00956D5E">
      <w:pPr>
        <w:widowControl/>
        <w:snapToGrid w:val="0"/>
        <w:spacing w:line="360" w:lineRule="exact"/>
        <w:ind w:firstLineChars="200" w:firstLine="420"/>
        <w:jc w:val="left"/>
        <w:rPr>
          <w:rFonts w:ascii="宋体" w:hAnsi="宋体" w:cs="宋体" w:hint="eastAsia"/>
          <w:kern w:val="0"/>
          <w:szCs w:val="21"/>
        </w:rPr>
      </w:pPr>
      <w:r>
        <w:rPr>
          <w:rFonts w:ascii="华文楷体" w:eastAsia="华文楷体" w:hAnsi="华文楷体" w:cs="宋体" w:hint="eastAsia"/>
          <w:b/>
          <w:kern w:val="0"/>
          <w:szCs w:val="21"/>
        </w:rPr>
        <w:t>（六）特别说明</w:t>
      </w:r>
    </w:p>
    <w:p w:rsidR="00956D5E" w:rsidRDefault="00956D5E">
      <w:pPr>
        <w:widowControl/>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在产品存续期间，不开放赎回。</w:t>
      </w:r>
    </w:p>
    <w:p w:rsidR="00956D5E" w:rsidRDefault="00956D5E">
      <w:pPr>
        <w:widowControl/>
        <w:spacing w:afterLines="50" w:line="440" w:lineRule="exact"/>
        <w:ind w:firstLineChars="200" w:firstLine="561"/>
        <w:jc w:val="left"/>
        <w:rPr>
          <w:rFonts w:ascii="华文细黑" w:eastAsia="华文细黑" w:hAnsi="华文细黑" w:cs="宋体" w:hint="eastAsia"/>
          <w:b/>
          <w:bCs/>
          <w:kern w:val="0"/>
          <w:sz w:val="28"/>
          <w:szCs w:val="28"/>
        </w:rPr>
      </w:pPr>
      <w:r>
        <w:rPr>
          <w:rFonts w:ascii="华文细黑" w:eastAsia="华文细黑" w:hAnsi="华文细黑" w:cs="宋体" w:hint="eastAsia"/>
          <w:b/>
          <w:bCs/>
          <w:kern w:val="0"/>
          <w:sz w:val="28"/>
          <w:szCs w:val="28"/>
        </w:rPr>
        <w:t>四、特别提示</w:t>
      </w:r>
    </w:p>
    <w:p w:rsidR="00956D5E" w:rsidRDefault="00956D5E">
      <w:pPr>
        <w:spacing w:line="360" w:lineRule="exact"/>
        <w:ind w:firstLineChars="200" w:firstLine="420"/>
        <w:rPr>
          <w:rFonts w:ascii="华文楷体" w:eastAsia="华文楷体" w:hAnsi="华文楷体" w:cs="宋体" w:hint="eastAsia"/>
          <w:b/>
          <w:kern w:val="0"/>
          <w:szCs w:val="21"/>
        </w:rPr>
      </w:pPr>
      <w:r>
        <w:rPr>
          <w:rFonts w:ascii="宋体" w:hAnsi="宋体" w:cs="宋体"/>
          <w:kern w:val="0"/>
          <w:szCs w:val="21"/>
        </w:rPr>
        <w:t>产品存续期内不提供估值，</w:t>
      </w:r>
      <w:r>
        <w:rPr>
          <w:rFonts w:ascii="宋体" w:hAnsi="宋体" w:cs="宋体" w:hint="eastAsia"/>
          <w:kern w:val="0"/>
          <w:szCs w:val="21"/>
        </w:rPr>
        <w:t>不向投资者提供对账单</w:t>
      </w:r>
      <w:r>
        <w:rPr>
          <w:rFonts w:ascii="宋体" w:hAnsi="宋体" w:cs="宋体"/>
          <w:kern w:val="0"/>
          <w:szCs w:val="21"/>
        </w:rPr>
        <w:t>，投资者应根据产品说明书所载明的</w:t>
      </w:r>
      <w:r>
        <w:rPr>
          <w:rFonts w:ascii="宋体" w:hAnsi="宋体" w:cs="宋体" w:hint="eastAsia"/>
          <w:kern w:val="0"/>
          <w:szCs w:val="21"/>
        </w:rPr>
        <w:t>信息披露</w:t>
      </w:r>
      <w:r>
        <w:rPr>
          <w:rFonts w:ascii="宋体" w:hAnsi="宋体" w:cs="宋体"/>
          <w:kern w:val="0"/>
          <w:szCs w:val="21"/>
        </w:rPr>
        <w:t>方式及时查询产品的相关信息。</w:t>
      </w:r>
    </w:p>
    <w:p w:rsidR="00956D5E" w:rsidRDefault="00956D5E">
      <w:pPr>
        <w:spacing w:line="360" w:lineRule="exact"/>
        <w:rPr>
          <w:rFonts w:ascii="宋体" w:hAnsi="宋体" w:cs="宋体" w:hint="eastAsia"/>
          <w:kern w:val="0"/>
          <w:szCs w:val="21"/>
        </w:rPr>
      </w:pPr>
    </w:p>
    <w:p w:rsidR="00956D5E" w:rsidRDefault="00956D5E">
      <w:pPr>
        <w:spacing w:line="360" w:lineRule="exact"/>
        <w:ind w:firstLineChars="200" w:firstLine="420"/>
        <w:rPr>
          <w:rFonts w:ascii="宋体" w:hAnsi="宋体" w:cs="宋体" w:hint="eastAsia"/>
          <w:kern w:val="0"/>
          <w:szCs w:val="21"/>
        </w:rPr>
      </w:pPr>
      <w:r>
        <w:rPr>
          <w:rFonts w:ascii="宋体" w:hAnsi="宋体" w:cs="宋体"/>
          <w:kern w:val="0"/>
          <w:szCs w:val="21"/>
        </w:rPr>
        <w:t>产品投资人已阅读并充分了解产品的收益和风险，自愿购买。投资人同意</w:t>
      </w:r>
      <w:r>
        <w:rPr>
          <w:rFonts w:ascii="宋体" w:hAnsi="宋体" w:cs="宋体" w:hint="eastAsia"/>
          <w:kern w:val="0"/>
          <w:szCs w:val="21"/>
        </w:rPr>
        <w:t>对于</w:t>
      </w:r>
      <w:r>
        <w:rPr>
          <w:rFonts w:ascii="宋体" w:hAnsi="宋体" w:cs="宋体"/>
          <w:kern w:val="0"/>
          <w:szCs w:val="21"/>
        </w:rPr>
        <w:t>产品</w:t>
      </w:r>
      <w:r>
        <w:rPr>
          <w:rFonts w:ascii="宋体" w:hAnsi="宋体" w:cs="宋体" w:hint="eastAsia"/>
          <w:kern w:val="0"/>
          <w:szCs w:val="21"/>
        </w:rPr>
        <w:t>销售行（社）在相关营业网点</w:t>
      </w:r>
      <w:r>
        <w:rPr>
          <w:rFonts w:ascii="宋体" w:hAnsi="宋体" w:cs="宋体"/>
          <w:kern w:val="0"/>
          <w:szCs w:val="21"/>
        </w:rPr>
        <w:t>公布的信息将及时阅读，并视为投资人已获取该信息。产品</w:t>
      </w:r>
      <w:r>
        <w:rPr>
          <w:rFonts w:ascii="宋体" w:hAnsi="宋体" w:cs="宋体" w:hint="eastAsia"/>
          <w:kern w:val="0"/>
          <w:szCs w:val="21"/>
        </w:rPr>
        <w:t>销售行（社）</w:t>
      </w:r>
      <w:r>
        <w:rPr>
          <w:rFonts w:ascii="宋体" w:hAnsi="宋体" w:cs="宋体"/>
          <w:kern w:val="0"/>
          <w:szCs w:val="21"/>
        </w:rPr>
        <w:t>或将通过产品</w:t>
      </w:r>
      <w:r>
        <w:rPr>
          <w:rFonts w:ascii="宋体" w:hAnsi="宋体" w:cs="宋体" w:hint="eastAsia"/>
          <w:kern w:val="0"/>
          <w:szCs w:val="21"/>
        </w:rPr>
        <w:t>销售</w:t>
      </w:r>
      <w:r>
        <w:rPr>
          <w:rFonts w:ascii="宋体" w:hAnsi="宋体" w:cs="宋体"/>
          <w:kern w:val="0"/>
          <w:szCs w:val="21"/>
        </w:rPr>
        <w:t>协议书中的联系方式告知投资人产品重要事项。若联系方式变更，产品投资人将主动告知产品</w:t>
      </w:r>
      <w:r>
        <w:rPr>
          <w:rFonts w:ascii="宋体" w:hAnsi="宋体" w:cs="宋体" w:hint="eastAsia"/>
          <w:kern w:val="0"/>
          <w:szCs w:val="21"/>
        </w:rPr>
        <w:t>销售行(社)</w:t>
      </w:r>
      <w:r>
        <w:rPr>
          <w:rFonts w:ascii="宋体" w:hAnsi="宋体" w:cs="宋体"/>
          <w:kern w:val="0"/>
          <w:szCs w:val="21"/>
        </w:rPr>
        <w:t>。如投资人未将联系方式变更及时告知产品</w:t>
      </w:r>
      <w:r>
        <w:rPr>
          <w:rFonts w:ascii="宋体" w:hAnsi="宋体" w:cs="宋体" w:hint="eastAsia"/>
          <w:kern w:val="0"/>
          <w:szCs w:val="21"/>
        </w:rPr>
        <w:t>销售行(社)</w:t>
      </w:r>
      <w:r>
        <w:rPr>
          <w:rFonts w:ascii="宋体" w:hAnsi="宋体" w:cs="宋体"/>
          <w:kern w:val="0"/>
          <w:szCs w:val="21"/>
        </w:rPr>
        <w:t>，则</w:t>
      </w:r>
      <w:r>
        <w:rPr>
          <w:rFonts w:ascii="宋体" w:hAnsi="宋体" w:cs="宋体" w:hint="eastAsia"/>
          <w:kern w:val="0"/>
          <w:szCs w:val="21"/>
        </w:rPr>
        <w:t>产品销售行（社）</w:t>
      </w:r>
      <w:r>
        <w:rPr>
          <w:rFonts w:ascii="宋体" w:hAnsi="宋体" w:cs="宋体"/>
          <w:kern w:val="0"/>
          <w:szCs w:val="21"/>
        </w:rPr>
        <w:t>不承担由此产生的后果。</w:t>
      </w:r>
    </w:p>
    <w:p w:rsidR="00956D5E" w:rsidRDefault="00956D5E">
      <w:pPr>
        <w:spacing w:line="360" w:lineRule="exact"/>
        <w:rPr>
          <w:rFonts w:ascii="宋体" w:hAnsi="宋体" w:cs="宋体" w:hint="eastAsia"/>
          <w:spacing w:val="-4"/>
          <w:kern w:val="0"/>
          <w:szCs w:val="21"/>
        </w:rPr>
      </w:pPr>
      <w:r>
        <w:rPr>
          <w:rFonts w:ascii="宋体" w:hAnsi="宋体" w:cs="宋体" w:hint="eastAsia"/>
          <w:kern w:val="0"/>
          <w:szCs w:val="21"/>
        </w:rPr>
        <w:t xml:space="preserve">   </w:t>
      </w:r>
      <w:r>
        <w:rPr>
          <w:rFonts w:ascii="宋体" w:hAnsi="宋体" w:cs="宋体" w:hint="eastAsia"/>
          <w:spacing w:val="-4"/>
          <w:kern w:val="0"/>
          <w:szCs w:val="21"/>
        </w:rPr>
        <w:t xml:space="preserve"> 产品说明书一式两份与投资人签署的《理财产品销售协议书》、《风险揭示书》等附件一并加盖骑缝章。</w:t>
      </w:r>
    </w:p>
    <w:p w:rsidR="00956D5E" w:rsidRDefault="00956D5E">
      <w:pPr>
        <w:widowControl/>
        <w:snapToGrid w:val="0"/>
        <w:spacing w:line="400" w:lineRule="exact"/>
        <w:ind w:firstLineChars="200" w:firstLine="420"/>
        <w:jc w:val="left"/>
        <w:rPr>
          <w:rFonts w:ascii="宋体" w:hAnsi="宋体" w:cs="宋体" w:hint="eastAsia"/>
          <w:kern w:val="0"/>
          <w:szCs w:val="21"/>
        </w:rPr>
      </w:pPr>
      <w:r>
        <w:rPr>
          <w:rFonts w:ascii="宋体" w:hAnsi="宋体" w:cs="宋体" w:hint="eastAsia"/>
          <w:kern w:val="0"/>
          <w:szCs w:val="21"/>
        </w:rPr>
        <w:t>投资人（签字或盖章）：</w:t>
      </w:r>
      <w:r>
        <w:rPr>
          <w:rFonts w:ascii="宋体" w:hAnsi="宋体" w:cs="宋体"/>
          <w:kern w:val="0"/>
          <w:szCs w:val="21"/>
        </w:rPr>
        <w:t xml:space="preserve">          </w:t>
      </w:r>
      <w:r>
        <w:rPr>
          <w:rFonts w:ascii="宋体" w:hAnsi="宋体" w:cs="宋体" w:hint="eastAsia"/>
          <w:kern w:val="0"/>
          <w:szCs w:val="21"/>
        </w:rPr>
        <w:t xml:space="preserve">                 销售网点（业务公章）：</w:t>
      </w:r>
    </w:p>
    <w:p w:rsidR="00956D5E" w:rsidRDefault="00956D5E">
      <w:pPr>
        <w:widowControl/>
        <w:snapToGrid w:val="0"/>
        <w:spacing w:line="400" w:lineRule="exact"/>
        <w:ind w:firstLineChars="100" w:firstLine="210"/>
        <w:jc w:val="left"/>
        <w:rPr>
          <w:rFonts w:ascii="宋体" w:hAnsi="宋体" w:cs="宋体" w:hint="eastAsia"/>
          <w:kern w:val="0"/>
          <w:szCs w:val="21"/>
        </w:rPr>
      </w:pPr>
      <w:r>
        <w:rPr>
          <w:rFonts w:ascii="宋体" w:hAnsi="宋体" w:cs="宋体" w:hint="eastAsia"/>
          <w:kern w:val="0"/>
          <w:szCs w:val="21"/>
        </w:rPr>
        <w:t>（机构投资人盖章应与预留</w:t>
      </w:r>
    </w:p>
    <w:p w:rsidR="00956D5E" w:rsidRDefault="00956D5E">
      <w:pPr>
        <w:widowControl/>
        <w:snapToGrid w:val="0"/>
        <w:spacing w:line="400" w:lineRule="exact"/>
        <w:ind w:firstLineChars="150" w:firstLine="315"/>
        <w:jc w:val="left"/>
        <w:rPr>
          <w:rFonts w:ascii="宋体" w:hAnsi="宋体" w:cs="宋体" w:hint="eastAsia"/>
          <w:kern w:val="0"/>
          <w:szCs w:val="21"/>
        </w:rPr>
      </w:pPr>
      <w:r>
        <w:rPr>
          <w:rFonts w:ascii="宋体" w:hAnsi="宋体" w:cs="宋体" w:hint="eastAsia"/>
          <w:kern w:val="0"/>
          <w:szCs w:val="21"/>
        </w:rPr>
        <w:t>销售网点印鉴章保持一致）</w:t>
      </w:r>
    </w:p>
    <w:p w:rsidR="00956D5E" w:rsidRDefault="00956D5E">
      <w:pPr>
        <w:widowControl/>
        <w:snapToGrid w:val="0"/>
        <w:spacing w:line="400" w:lineRule="exact"/>
        <w:jc w:val="left"/>
        <w:rPr>
          <w:rFonts w:ascii="宋体" w:hAnsi="宋体" w:cs="宋体" w:hint="eastAsia"/>
          <w:kern w:val="0"/>
          <w:szCs w:val="21"/>
        </w:rPr>
      </w:pPr>
    </w:p>
    <w:p w:rsidR="00956D5E" w:rsidRDefault="00956D5E">
      <w:pPr>
        <w:spacing w:line="400" w:lineRule="exact"/>
        <w:ind w:firstLineChars="200" w:firstLine="420"/>
        <w:rPr>
          <w:rFonts w:ascii="宋体" w:hAnsi="宋体" w:cs="宋体"/>
          <w:kern w:val="0"/>
          <w:szCs w:val="21"/>
        </w:rPr>
      </w:pP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月 </w:t>
      </w:r>
      <w:r>
        <w:rPr>
          <w:rFonts w:ascii="宋体" w:hAnsi="宋体" w:cs="宋体"/>
          <w:kern w:val="0"/>
          <w:szCs w:val="21"/>
        </w:rPr>
        <w:t xml:space="preserve">   </w:t>
      </w:r>
      <w:r>
        <w:rPr>
          <w:rFonts w:ascii="宋体" w:hAnsi="宋体" w:cs="宋体" w:hint="eastAsia"/>
          <w:kern w:val="0"/>
          <w:szCs w:val="21"/>
        </w:rPr>
        <w:t>日</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年  </w:t>
      </w:r>
      <w:r>
        <w:rPr>
          <w:rFonts w:ascii="宋体" w:hAnsi="宋体" w:cs="宋体"/>
          <w:kern w:val="0"/>
          <w:szCs w:val="21"/>
        </w:rPr>
        <w:t xml:space="preserve">  </w:t>
      </w:r>
      <w:r>
        <w:rPr>
          <w:rFonts w:ascii="宋体" w:hAnsi="宋体" w:cs="宋体" w:hint="eastAsia"/>
          <w:kern w:val="0"/>
          <w:szCs w:val="21"/>
        </w:rPr>
        <w:t xml:space="preserve">月  </w:t>
      </w:r>
      <w:r>
        <w:rPr>
          <w:rFonts w:ascii="宋体" w:hAnsi="宋体" w:cs="宋体"/>
          <w:kern w:val="0"/>
          <w:szCs w:val="21"/>
        </w:rPr>
        <w:t xml:space="preserve">  </w:t>
      </w:r>
      <w:r>
        <w:rPr>
          <w:rFonts w:ascii="宋体" w:hAnsi="宋体" w:cs="宋体" w:hint="eastAsia"/>
          <w:kern w:val="0"/>
          <w:szCs w:val="21"/>
        </w:rPr>
        <w:t>日</w:t>
      </w:r>
    </w:p>
    <w:p w:rsidR="00956D5E" w:rsidRDefault="00956D5E"/>
    <w:sectPr w:rsidR="00956D5E">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146" w:rsidRDefault="00004146">
      <w:r>
        <w:separator/>
      </w:r>
    </w:p>
  </w:endnote>
  <w:endnote w:type="continuationSeparator" w:id="0">
    <w:p w:rsidR="00004146" w:rsidRDefault="00004146">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altName w:val="hakuyoxingshu7000"/>
    <w:charset w:val="86"/>
    <w:family w:val="auto"/>
    <w:pitch w:val="variable"/>
    <w:sig w:usb0="00000000" w:usb1="080F0000" w:usb2="00000010" w:usb3="00000000" w:csb0="0004009F" w:csb1="00000000"/>
  </w:font>
  <w:font w:name="华文宋体">
    <w:altName w:val="hakuyoxingshu7000"/>
    <w:charset w:val="86"/>
    <w:family w:val="auto"/>
    <w:pitch w:val="variable"/>
    <w:sig w:usb0="00000000" w:usb1="080F0000" w:usb2="00000010" w:usb3="00000000" w:csb0="0004009F" w:csb1="00000000"/>
  </w:font>
  <w:font w:name="华文楷体">
    <w:altName w:val="hakuyoxingshu7000"/>
    <w:charset w:val="86"/>
    <w:family w:val="auto"/>
    <w:pitch w:val="variable"/>
    <w:sig w:usb0="00000000"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AC" w:rsidRDefault="009110A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D5E" w:rsidRDefault="00956D5E">
    <w:pPr>
      <w:pStyle w:val="a3"/>
      <w:jc w:val="center"/>
    </w:pPr>
    <w:fldSimple w:instr=" PAGE   \* MERGEFORMAT ">
      <w:r w:rsidR="00C66E10" w:rsidRPr="00C66E10">
        <w:rPr>
          <w:noProof/>
          <w:lang w:val="zh-CN" w:eastAsia="zh-CN"/>
        </w:rPr>
        <w:t>1</w:t>
      </w:r>
    </w:fldSimple>
  </w:p>
  <w:p w:rsidR="00956D5E" w:rsidRDefault="00956D5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AC" w:rsidRDefault="009110A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146" w:rsidRDefault="00004146">
      <w:r>
        <w:separator/>
      </w:r>
    </w:p>
  </w:footnote>
  <w:footnote w:type="continuationSeparator" w:id="0">
    <w:p w:rsidR="00004146" w:rsidRDefault="00004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AC" w:rsidRDefault="009110A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D5E" w:rsidRDefault="00956D5E" w:rsidP="009110A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AC" w:rsidRDefault="009110A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456B6"/>
    <w:multiLevelType w:val="multilevel"/>
    <w:tmpl w:val="765456B6"/>
    <w:lvl w:ilvl="0">
      <w:start w:val="1"/>
      <w:numFmt w:val="decimal"/>
      <w:lvlText w:val="%1、"/>
      <w:lvlJc w:val="left"/>
      <w:pPr>
        <w:ind w:left="360" w:hanging="360"/>
      </w:pPr>
      <w:rPr>
        <w:rFonts w:ascii="仿宋_GB2312" w:eastAsia="仿宋_GB2312"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1F60"/>
    <w:rsid w:val="00004146"/>
    <w:rsid w:val="0006125F"/>
    <w:rsid w:val="000F3FB8"/>
    <w:rsid w:val="00110440"/>
    <w:rsid w:val="001134E5"/>
    <w:rsid w:val="0013414D"/>
    <w:rsid w:val="00184341"/>
    <w:rsid w:val="001E4CE2"/>
    <w:rsid w:val="0021726F"/>
    <w:rsid w:val="00286B49"/>
    <w:rsid w:val="00297FE1"/>
    <w:rsid w:val="00386B2A"/>
    <w:rsid w:val="00397351"/>
    <w:rsid w:val="003A4C23"/>
    <w:rsid w:val="003C34FF"/>
    <w:rsid w:val="003C6C74"/>
    <w:rsid w:val="003F2A2C"/>
    <w:rsid w:val="003F461C"/>
    <w:rsid w:val="004150C7"/>
    <w:rsid w:val="00456D65"/>
    <w:rsid w:val="004839E9"/>
    <w:rsid w:val="004A7DC8"/>
    <w:rsid w:val="004B0533"/>
    <w:rsid w:val="005068D6"/>
    <w:rsid w:val="0051116F"/>
    <w:rsid w:val="0052397B"/>
    <w:rsid w:val="00552250"/>
    <w:rsid w:val="005527F3"/>
    <w:rsid w:val="00577577"/>
    <w:rsid w:val="00586FCF"/>
    <w:rsid w:val="00590E66"/>
    <w:rsid w:val="005B3587"/>
    <w:rsid w:val="00611946"/>
    <w:rsid w:val="00621C7F"/>
    <w:rsid w:val="006817F4"/>
    <w:rsid w:val="006A2FEF"/>
    <w:rsid w:val="006D1740"/>
    <w:rsid w:val="00835811"/>
    <w:rsid w:val="00836156"/>
    <w:rsid w:val="008B0965"/>
    <w:rsid w:val="008E45A9"/>
    <w:rsid w:val="009107E6"/>
    <w:rsid w:val="009110AC"/>
    <w:rsid w:val="00944137"/>
    <w:rsid w:val="00956D5E"/>
    <w:rsid w:val="00981F60"/>
    <w:rsid w:val="0099107B"/>
    <w:rsid w:val="009B3645"/>
    <w:rsid w:val="00A86EA8"/>
    <w:rsid w:val="00A90CE2"/>
    <w:rsid w:val="00A948D2"/>
    <w:rsid w:val="00AB1FC7"/>
    <w:rsid w:val="00AC52E8"/>
    <w:rsid w:val="00AE62D2"/>
    <w:rsid w:val="00B301F2"/>
    <w:rsid w:val="00B5746D"/>
    <w:rsid w:val="00B9230D"/>
    <w:rsid w:val="00BA2E32"/>
    <w:rsid w:val="00BC3319"/>
    <w:rsid w:val="00BE08F2"/>
    <w:rsid w:val="00BE2ABA"/>
    <w:rsid w:val="00BF6B94"/>
    <w:rsid w:val="00C45AE4"/>
    <w:rsid w:val="00C66E10"/>
    <w:rsid w:val="00CC760B"/>
    <w:rsid w:val="00CD77B7"/>
    <w:rsid w:val="00D0007D"/>
    <w:rsid w:val="00D840F2"/>
    <w:rsid w:val="00D917A8"/>
    <w:rsid w:val="00DB0091"/>
    <w:rsid w:val="00DC704F"/>
    <w:rsid w:val="00DF19EE"/>
    <w:rsid w:val="00E3357A"/>
    <w:rsid w:val="00E607A3"/>
    <w:rsid w:val="00F07CE2"/>
    <w:rsid w:val="00F346A6"/>
    <w:rsid w:val="00F7235A"/>
    <w:rsid w:val="00F76804"/>
    <w:rsid w:val="00F85438"/>
    <w:rsid w:val="00F86603"/>
    <w:rsid w:val="00F90D05"/>
    <w:rsid w:val="17861C84"/>
    <w:rsid w:val="57335A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Pr>
      <w:rFonts w:eastAsia="宋体"/>
      <w:kern w:val="2"/>
      <w:sz w:val="18"/>
      <w:szCs w:val="18"/>
      <w:lang w:val="en-US" w:eastAsia="zh-CN" w:bidi="ar-SA"/>
    </w:rPr>
  </w:style>
  <w:style w:type="character" w:customStyle="1" w:styleId="Char0">
    <w:name w:val="页眉 Char"/>
    <w:basedOn w:val="a0"/>
    <w:link w:val="a4"/>
    <w:semiHidden/>
    <w:rPr>
      <w:rFonts w:eastAsia="宋体"/>
      <w:kern w:val="2"/>
      <w:sz w:val="18"/>
      <w:szCs w:val="18"/>
      <w:lang w:val="en-US" w:eastAsia="zh-CN" w:bidi="ar-SA"/>
    </w:rPr>
  </w:style>
  <w:style w:type="paragraph" w:styleId="a5">
    <w:name w:val="List Paragraph"/>
    <w:basedOn w:val="a"/>
    <w:qFormat/>
    <w:pPr>
      <w:ind w:firstLineChars="200" w:firstLine="420"/>
    </w:p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nhideWhenUse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3511</Characters>
  <Application>Microsoft Office Word</Application>
  <DocSecurity>4</DocSecurity>
  <PresentationFormat/>
  <Lines>29</Lines>
  <Paragraphs>8</Paragraphs>
  <Slides>0</Slides>
  <Notes>0</Notes>
  <HiddenSlides>0</HiddenSlides>
  <MMClips>0</MMClips>
  <ScaleCrop>false</ScaleCrop>
  <Company>落雪梨花</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产品名称及编号：百福理财禧临门系列CG15920150515001号 协议书编号：</dc:title>
  <dc:creator>Administrator</dc:creator>
  <cp:lastModifiedBy>Administrator</cp:lastModifiedBy>
  <cp:revision>2</cp:revision>
  <cp:lastPrinted>2015-02-10T08:49:00Z</cp:lastPrinted>
  <dcterms:created xsi:type="dcterms:W3CDTF">2015-07-03T08:18:00Z</dcterms:created>
  <dcterms:modified xsi:type="dcterms:W3CDTF">2015-07-03T08:18:00Z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