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01" w:rsidRDefault="00C70A09">
      <w:pPr>
        <w:spacing w:line="560" w:lineRule="exact"/>
        <w:ind w:firstLineChars="100" w:firstLine="440"/>
        <w:jc w:val="center"/>
        <w:rPr>
          <w:rFonts w:ascii="方正小标宋简体" w:eastAsia="方正小标宋简体"/>
          <w:sz w:val="44"/>
          <w:szCs w:val="44"/>
        </w:rPr>
      </w:pPr>
      <w:r>
        <w:rPr>
          <w:rFonts w:ascii="方正小标宋简体" w:eastAsia="方正小标宋简体" w:hint="eastAsia"/>
          <w:sz w:val="44"/>
          <w:szCs w:val="44"/>
        </w:rPr>
        <w:t>江西铜鼓农村商业银行股份有限公司</w:t>
      </w:r>
    </w:p>
    <w:p w:rsidR="006D2801" w:rsidRDefault="00C70A09">
      <w:pPr>
        <w:spacing w:line="560" w:lineRule="exact"/>
        <w:ind w:firstLineChars="100" w:firstLine="440"/>
        <w:jc w:val="center"/>
        <w:rPr>
          <w:rFonts w:ascii="方正小标宋简体" w:eastAsia="方正小标宋简体"/>
          <w:sz w:val="44"/>
          <w:szCs w:val="44"/>
        </w:rPr>
      </w:pPr>
      <w:r>
        <w:rPr>
          <w:rFonts w:ascii="方正小标宋简体" w:eastAsia="方正小标宋简体" w:hint="eastAsia"/>
          <w:sz w:val="44"/>
          <w:szCs w:val="44"/>
        </w:rPr>
        <w:t>2023年度信息披露报告</w:t>
      </w:r>
    </w:p>
    <w:p w:rsidR="00F44E2F" w:rsidRDefault="00F44E2F">
      <w:pPr>
        <w:spacing w:line="560" w:lineRule="exact"/>
        <w:ind w:firstLineChars="100" w:firstLine="440"/>
        <w:jc w:val="center"/>
        <w:rPr>
          <w:rFonts w:ascii="方正小标宋简体" w:eastAsia="方正小标宋简体"/>
          <w:sz w:val="44"/>
          <w:szCs w:val="44"/>
        </w:rPr>
      </w:pPr>
    </w:p>
    <w:p w:rsidR="006D2801" w:rsidRDefault="00C70A09">
      <w:pPr>
        <w:shd w:val="clear" w:color="auto" w:fill="FFFFFF"/>
        <w:spacing w:line="560" w:lineRule="exact"/>
        <w:rPr>
          <w:rFonts w:ascii="仿宋_GB2312" w:eastAsia="仿宋_GB2312" w:hAnsi="仿宋" w:cs="宋体"/>
          <w:color w:val="000000"/>
          <w:sz w:val="32"/>
          <w:szCs w:val="32"/>
        </w:rPr>
      </w:pPr>
      <w:r>
        <w:rPr>
          <w:rFonts w:ascii="仿宋_GB2312" w:eastAsia="仿宋_GB2312" w:hAnsi="仿宋" w:cs="宋体" w:hint="eastAsia"/>
          <w:color w:val="000000"/>
          <w:sz w:val="32"/>
          <w:szCs w:val="32"/>
        </w:rPr>
        <w:t>重要提示</w:t>
      </w:r>
    </w:p>
    <w:p w:rsidR="006D2801" w:rsidRDefault="00C70A09">
      <w:pPr>
        <w:shd w:val="clear" w:color="auto" w:fill="FFFFFF"/>
        <w:spacing w:line="560" w:lineRule="exact"/>
        <w:ind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江西铜鼓农村商业银行股份有限公司（以下简称“本行”）董事会及董事保证本报告所载资料不存在任何虚假记载、误导性陈述或者重大遗漏，并对其内容的真实性、准确性和完整性承担个别及连带责任。</w:t>
      </w:r>
    </w:p>
    <w:p w:rsidR="006D2801" w:rsidRDefault="00C70A09">
      <w:pPr>
        <w:shd w:val="clear" w:color="auto" w:fill="FFFFFF"/>
        <w:spacing w:line="560" w:lineRule="exact"/>
        <w:ind w:firstLine="624"/>
        <w:rPr>
          <w:rFonts w:ascii="仿宋_GB2312" w:eastAsia="仿宋_GB2312" w:hAnsi="仿宋" w:cs="宋体"/>
          <w:color w:val="000000"/>
          <w:sz w:val="32"/>
          <w:szCs w:val="32"/>
        </w:rPr>
      </w:pPr>
      <w:r>
        <w:rPr>
          <w:rFonts w:ascii="仿宋_GB2312" w:eastAsia="仿宋_GB2312" w:hAnsi="仿宋" w:cs="宋体" w:hint="eastAsia"/>
          <w:color w:val="000000"/>
          <w:sz w:val="32"/>
          <w:szCs w:val="32"/>
        </w:rPr>
        <w:t>本行2023年度财务决算报告经江西</w:t>
      </w:r>
      <w:r w:rsidR="00B2218C">
        <w:rPr>
          <w:rFonts w:ascii="仿宋_GB2312" w:eastAsia="仿宋_GB2312" w:hAnsi="仿宋" w:cs="宋体" w:hint="eastAsia"/>
          <w:color w:val="000000"/>
          <w:sz w:val="32"/>
          <w:szCs w:val="32"/>
        </w:rPr>
        <w:t>普惠</w:t>
      </w:r>
      <w:r>
        <w:rPr>
          <w:rFonts w:ascii="仿宋_GB2312" w:eastAsia="仿宋_GB2312" w:hAnsi="仿宋" w:cs="宋体" w:hint="eastAsia"/>
          <w:color w:val="000000"/>
          <w:sz w:val="32"/>
          <w:szCs w:val="32"/>
        </w:rPr>
        <w:t>会计师事务所根据国内审计准则审计，并出具了标准无保留意见的审计报告。</w:t>
      </w:r>
    </w:p>
    <w:p w:rsidR="006D2801" w:rsidRDefault="00C70A09">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一、基本情况简介</w:t>
      </w:r>
    </w:p>
    <w:p w:rsidR="006D2801" w:rsidRDefault="00C70A09">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1.1  法定中文名称：江西铜鼓农村商业银行股份有限公司，简称：铜鼓农商银行，法定英文名称：</w:t>
      </w:r>
      <w:proofErr w:type="gramStart"/>
      <w:r>
        <w:rPr>
          <w:rFonts w:ascii="仿宋_GB2312" w:eastAsia="仿宋_GB2312" w:hAnsi="仿宋" w:cs="宋体" w:hint="eastAsia"/>
          <w:color w:val="000000"/>
          <w:sz w:val="32"/>
          <w:szCs w:val="32"/>
        </w:rPr>
        <w:t xml:space="preserve">Jiangxi </w:t>
      </w:r>
      <w:proofErr w:type="spellStart"/>
      <w:r>
        <w:rPr>
          <w:rFonts w:ascii="仿宋_GB2312" w:eastAsia="仿宋_GB2312" w:hAnsi="仿宋" w:cs="宋体" w:hint="eastAsia"/>
          <w:color w:val="000000"/>
          <w:sz w:val="32"/>
          <w:szCs w:val="32"/>
        </w:rPr>
        <w:t>Tonggu</w:t>
      </w:r>
      <w:proofErr w:type="spellEnd"/>
      <w:r>
        <w:rPr>
          <w:rFonts w:ascii="仿宋_GB2312" w:eastAsia="仿宋_GB2312" w:hAnsi="仿宋" w:cs="宋体" w:hint="eastAsia"/>
          <w:color w:val="000000"/>
          <w:sz w:val="32"/>
          <w:szCs w:val="32"/>
        </w:rPr>
        <w:t xml:space="preserve"> Rural Commercial Bank Co.，Ltd.</w:t>
      </w:r>
      <w:proofErr w:type="gramEnd"/>
    </w:p>
    <w:p w:rsidR="006D2801" w:rsidRDefault="00C70A09">
      <w:pPr>
        <w:shd w:val="clear" w:color="auto" w:fill="FFFFFF"/>
        <w:tabs>
          <w:tab w:val="left" w:pos="630"/>
        </w:tabs>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1.2  法定代表人：罗</w:t>
      </w:r>
      <w:r>
        <w:rPr>
          <w:rFonts w:ascii="宋体" w:hAnsi="宋体" w:cs="宋体" w:hint="eastAsia"/>
          <w:color w:val="000000"/>
          <w:sz w:val="32"/>
          <w:szCs w:val="32"/>
        </w:rPr>
        <w:t>珺</w:t>
      </w:r>
      <w:r>
        <w:rPr>
          <w:rFonts w:ascii="仿宋_GB2312" w:eastAsia="仿宋_GB2312" w:hAnsi="仿宋" w:cs="宋体" w:hint="eastAsia"/>
          <w:color w:val="000000"/>
          <w:sz w:val="32"/>
          <w:szCs w:val="32"/>
        </w:rPr>
        <w:t>。</w:t>
      </w:r>
    </w:p>
    <w:p w:rsidR="006D2801" w:rsidRDefault="00C70A09">
      <w:pPr>
        <w:shd w:val="clear" w:color="auto" w:fill="FFFFFF"/>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1.3  注册及办公地址：江西省铜鼓县城南西路175号。邮政编码：336200；首次注册登记日期：2017年12月20日；注册资本：人民币1.1660830</w:t>
      </w:r>
      <w:r w:rsidR="000557EC">
        <w:rPr>
          <w:rFonts w:ascii="仿宋_GB2312" w:eastAsia="仿宋_GB2312" w:hAnsi="仿宋" w:cs="宋体" w:hint="eastAsia"/>
          <w:color w:val="000000"/>
          <w:sz w:val="32"/>
          <w:szCs w:val="32"/>
        </w:rPr>
        <w:t>0</w:t>
      </w:r>
      <w:r>
        <w:rPr>
          <w:rFonts w:ascii="仿宋_GB2312" w:eastAsia="仿宋_GB2312" w:hAnsi="仿宋" w:cs="宋体" w:hint="eastAsia"/>
          <w:color w:val="000000"/>
          <w:sz w:val="32"/>
          <w:szCs w:val="32"/>
        </w:rPr>
        <w:t>亿元人民币。</w:t>
      </w:r>
    </w:p>
    <w:p w:rsidR="006D2801" w:rsidRDefault="00C70A09">
      <w:pPr>
        <w:shd w:val="clear" w:color="auto" w:fill="FFFFFF"/>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1.4  其他有关资料：202</w:t>
      </w:r>
      <w:r w:rsidR="000557EC">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年4月25日获得了中国中国银行保险监督管理委员会宜春监管分局核发的《中华人民共和国金融许可证》，金融许可证编号：B0958H336090001。202</w:t>
      </w:r>
      <w:r w:rsidR="000557EC">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年6月28日取得宜春市行政</w:t>
      </w:r>
      <w:proofErr w:type="gramStart"/>
      <w:r>
        <w:rPr>
          <w:rFonts w:ascii="仿宋_GB2312" w:eastAsia="仿宋_GB2312" w:hAnsi="仿宋" w:cs="宋体" w:hint="eastAsia"/>
          <w:color w:val="000000"/>
          <w:sz w:val="32"/>
          <w:szCs w:val="32"/>
        </w:rPr>
        <w:t>审批局换发</w:t>
      </w:r>
      <w:proofErr w:type="gramEnd"/>
      <w:r>
        <w:rPr>
          <w:rFonts w:ascii="仿宋_GB2312" w:eastAsia="仿宋_GB2312" w:hAnsi="仿宋" w:cs="宋体" w:hint="eastAsia"/>
          <w:color w:val="000000"/>
          <w:sz w:val="32"/>
          <w:szCs w:val="32"/>
        </w:rPr>
        <w:t>的同意社会信用代码91360926492182794D号《营业执照》。</w:t>
      </w:r>
    </w:p>
    <w:p w:rsidR="006D2801" w:rsidRDefault="00C70A09">
      <w:pPr>
        <w:shd w:val="clear" w:color="auto" w:fill="FFFFFF"/>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1.5  客户和投诉电话：96268。</w:t>
      </w:r>
    </w:p>
    <w:p w:rsidR="006D2801" w:rsidRDefault="00C70A09">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lastRenderedPageBreak/>
        <w:t>二、主要业务数据</w:t>
      </w:r>
    </w:p>
    <w:p w:rsidR="006D2801" w:rsidRDefault="00C70A09">
      <w:pPr>
        <w:shd w:val="clear" w:color="auto" w:fill="FFFFFF"/>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2023年，铜鼓农商银行在省联社党委的正确领导下，在县委、县政府的关心支持下，在监管部门的有效监管下，坚持稳中求进的工作总基调，以推进高质量发展为根本遵循，以实施全面质量管理为工作主线，迎难而上，开拓创新，通过全体员工的共同努力，业务经营保持了稳健发展态势。</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至2023年末，各项资产总计356587.85万元；负债总计333924.34万元；所有者权益22663.51万元；实现各项收入17367.66万元，人均创收147.18万元；人均净利润17.00万元。</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  报告期主要利润指标情况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 xml:space="preserve">                             单位：人民币  万元</w:t>
      </w:r>
    </w:p>
    <w:tbl>
      <w:tblPr>
        <w:tblW w:w="8890" w:type="dxa"/>
        <w:jc w:val="center"/>
        <w:tblLayout w:type="fixed"/>
        <w:tblLook w:val="04A0"/>
      </w:tblPr>
      <w:tblGrid>
        <w:gridCol w:w="4794"/>
        <w:gridCol w:w="4096"/>
      </w:tblGrid>
      <w:tr w:rsidR="006D2801">
        <w:trPr>
          <w:trHeight w:val="317"/>
          <w:jc w:val="center"/>
        </w:trPr>
        <w:tc>
          <w:tcPr>
            <w:tcW w:w="479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项    目</w:t>
            </w:r>
          </w:p>
        </w:tc>
        <w:tc>
          <w:tcPr>
            <w:tcW w:w="4096"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2023年</w:t>
            </w:r>
          </w:p>
        </w:tc>
      </w:tr>
      <w:tr w:rsidR="006D2801">
        <w:trPr>
          <w:trHeight w:val="282"/>
          <w:jc w:val="center"/>
        </w:trPr>
        <w:tc>
          <w:tcPr>
            <w:tcW w:w="4794"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利润总额</w:t>
            </w:r>
          </w:p>
        </w:tc>
        <w:tc>
          <w:tcPr>
            <w:tcW w:w="4096"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2675.69</w:t>
            </w:r>
          </w:p>
        </w:tc>
      </w:tr>
      <w:tr w:rsidR="006D2801">
        <w:trPr>
          <w:trHeight w:val="172"/>
          <w:jc w:val="center"/>
        </w:trPr>
        <w:tc>
          <w:tcPr>
            <w:tcW w:w="479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净利润</w:t>
            </w:r>
          </w:p>
        </w:tc>
        <w:tc>
          <w:tcPr>
            <w:tcW w:w="4096"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2005.69</w:t>
            </w:r>
          </w:p>
        </w:tc>
      </w:tr>
      <w:tr w:rsidR="006D2801">
        <w:trPr>
          <w:trHeight w:val="172"/>
          <w:jc w:val="center"/>
        </w:trPr>
        <w:tc>
          <w:tcPr>
            <w:tcW w:w="479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投资收益</w:t>
            </w:r>
          </w:p>
        </w:tc>
        <w:tc>
          <w:tcPr>
            <w:tcW w:w="4096"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63.5</w:t>
            </w:r>
          </w:p>
        </w:tc>
      </w:tr>
      <w:tr w:rsidR="006D2801">
        <w:trPr>
          <w:trHeight w:val="172"/>
          <w:jc w:val="center"/>
        </w:trPr>
        <w:tc>
          <w:tcPr>
            <w:tcW w:w="479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营业利润</w:t>
            </w:r>
          </w:p>
        </w:tc>
        <w:tc>
          <w:tcPr>
            <w:tcW w:w="409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2782.19</w:t>
            </w:r>
          </w:p>
        </w:tc>
      </w:tr>
      <w:tr w:rsidR="006D2801">
        <w:trPr>
          <w:trHeight w:val="210"/>
          <w:jc w:val="center"/>
        </w:trPr>
        <w:tc>
          <w:tcPr>
            <w:tcW w:w="479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营业外收支净额</w:t>
            </w:r>
          </w:p>
        </w:tc>
        <w:tc>
          <w:tcPr>
            <w:tcW w:w="409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-106.5</w:t>
            </w:r>
          </w:p>
        </w:tc>
      </w:tr>
    </w:tbl>
    <w:p w:rsidR="006D2801" w:rsidRDefault="00C70A09">
      <w:pPr>
        <w:shd w:val="clear" w:color="auto" w:fill="FFFFFF"/>
        <w:spacing w:line="560" w:lineRule="exact"/>
        <w:ind w:firstLineChars="150" w:firstLine="480"/>
        <w:rPr>
          <w:rFonts w:ascii="仿宋_GB2312" w:eastAsia="仿宋_GB2312" w:hAnsi="仿宋" w:cs="宋体"/>
          <w:sz w:val="32"/>
          <w:szCs w:val="32"/>
        </w:rPr>
      </w:pPr>
      <w:r>
        <w:rPr>
          <w:rFonts w:ascii="仿宋_GB2312" w:eastAsia="仿宋_GB2312" w:hAnsi="仿宋" w:cs="宋体" w:hint="eastAsia"/>
          <w:sz w:val="32"/>
          <w:szCs w:val="32"/>
        </w:rPr>
        <w:t xml:space="preserve">2.2  截止报告期末前两年的主要会计财务数据和财务指标 </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 xml:space="preserve"> 单位：人民币  万元</w:t>
      </w:r>
    </w:p>
    <w:tbl>
      <w:tblPr>
        <w:tblW w:w="8837" w:type="dxa"/>
        <w:jc w:val="center"/>
        <w:tblLayout w:type="fixed"/>
        <w:tblLook w:val="04A0"/>
      </w:tblPr>
      <w:tblGrid>
        <w:gridCol w:w="3142"/>
        <w:gridCol w:w="3339"/>
        <w:gridCol w:w="2356"/>
      </w:tblGrid>
      <w:tr w:rsidR="006D2801">
        <w:trPr>
          <w:trHeight w:val="1"/>
          <w:jc w:val="center"/>
        </w:trPr>
        <w:tc>
          <w:tcPr>
            <w:tcW w:w="3142"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项    目</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2023年</w:t>
            </w:r>
          </w:p>
        </w:tc>
        <w:tc>
          <w:tcPr>
            <w:tcW w:w="235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2022年</w:t>
            </w:r>
          </w:p>
        </w:tc>
      </w:tr>
      <w:tr w:rsidR="006D2801">
        <w:trPr>
          <w:trHeight w:val="1"/>
          <w:jc w:val="center"/>
        </w:trPr>
        <w:tc>
          <w:tcPr>
            <w:tcW w:w="3142"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营业收入</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17350.19</w:t>
            </w:r>
          </w:p>
        </w:tc>
        <w:tc>
          <w:tcPr>
            <w:tcW w:w="235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16937.61</w:t>
            </w:r>
          </w:p>
        </w:tc>
      </w:tr>
      <w:tr w:rsidR="006D2801">
        <w:trPr>
          <w:trHeight w:val="1"/>
          <w:jc w:val="center"/>
        </w:trPr>
        <w:tc>
          <w:tcPr>
            <w:tcW w:w="3142"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年末总资产</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356587.85</w:t>
            </w:r>
          </w:p>
        </w:tc>
        <w:tc>
          <w:tcPr>
            <w:tcW w:w="235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323135.23</w:t>
            </w:r>
          </w:p>
        </w:tc>
      </w:tr>
      <w:tr w:rsidR="006D2801">
        <w:trPr>
          <w:trHeight w:val="637"/>
          <w:jc w:val="center"/>
        </w:trPr>
        <w:tc>
          <w:tcPr>
            <w:tcW w:w="3142"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lastRenderedPageBreak/>
              <w:t>年末存款余额</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318386.27</w:t>
            </w:r>
          </w:p>
        </w:tc>
        <w:tc>
          <w:tcPr>
            <w:tcW w:w="235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290952.61</w:t>
            </w:r>
          </w:p>
        </w:tc>
      </w:tr>
      <w:tr w:rsidR="006D2801">
        <w:trPr>
          <w:trHeight w:val="1"/>
          <w:jc w:val="center"/>
        </w:trPr>
        <w:tc>
          <w:tcPr>
            <w:tcW w:w="3142"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年末贷款余额</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264185.86</w:t>
            </w:r>
          </w:p>
        </w:tc>
        <w:tc>
          <w:tcPr>
            <w:tcW w:w="235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240525.12</w:t>
            </w:r>
          </w:p>
        </w:tc>
      </w:tr>
      <w:tr w:rsidR="006D2801">
        <w:trPr>
          <w:trHeight w:val="1"/>
          <w:jc w:val="center"/>
        </w:trPr>
        <w:tc>
          <w:tcPr>
            <w:tcW w:w="3142"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年末所有者权益</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22663.51</w:t>
            </w:r>
          </w:p>
        </w:tc>
        <w:tc>
          <w:tcPr>
            <w:tcW w:w="235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21313.39</w:t>
            </w:r>
          </w:p>
        </w:tc>
      </w:tr>
      <w:tr w:rsidR="006D2801">
        <w:trPr>
          <w:trHeight w:val="219"/>
          <w:jc w:val="center"/>
        </w:trPr>
        <w:tc>
          <w:tcPr>
            <w:tcW w:w="3142"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每股收益(元/股)</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0.17</w:t>
            </w:r>
          </w:p>
        </w:tc>
        <w:tc>
          <w:tcPr>
            <w:tcW w:w="235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0.14</w:t>
            </w:r>
          </w:p>
        </w:tc>
      </w:tr>
      <w:tr w:rsidR="006D2801">
        <w:trPr>
          <w:trHeight w:val="1"/>
          <w:jc w:val="center"/>
        </w:trPr>
        <w:tc>
          <w:tcPr>
            <w:tcW w:w="3142"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净资产收益率</w:t>
            </w:r>
          </w:p>
        </w:tc>
        <w:tc>
          <w:tcPr>
            <w:tcW w:w="3339" w:type="dxa"/>
            <w:tcBorders>
              <w:top w:val="single" w:sz="4" w:space="0" w:color="auto"/>
              <w:left w:val="nil"/>
              <w:bottom w:val="single" w:sz="4" w:space="0" w:color="auto"/>
              <w:right w:val="nil"/>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9.12</w:t>
            </w:r>
          </w:p>
        </w:tc>
        <w:tc>
          <w:tcPr>
            <w:tcW w:w="235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8.03</w:t>
            </w:r>
          </w:p>
        </w:tc>
      </w:tr>
    </w:tbl>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2.3  报告期内资本构成及其变化情况</w:t>
      </w:r>
    </w:p>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单位：人民币  万元</w:t>
      </w:r>
    </w:p>
    <w:tbl>
      <w:tblPr>
        <w:tblW w:w="8890" w:type="dxa"/>
        <w:jc w:val="center"/>
        <w:tblLayout w:type="fixed"/>
        <w:tblLook w:val="04A0"/>
      </w:tblPr>
      <w:tblGrid>
        <w:gridCol w:w="5136"/>
        <w:gridCol w:w="3754"/>
      </w:tblGrid>
      <w:tr w:rsidR="006D2801">
        <w:trPr>
          <w:trHeight w:val="614"/>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项     目</w:t>
            </w:r>
          </w:p>
        </w:tc>
        <w:tc>
          <w:tcPr>
            <w:tcW w:w="3754" w:type="dxa"/>
            <w:tcBorders>
              <w:top w:val="single" w:sz="4" w:space="0" w:color="auto"/>
              <w:left w:val="nil"/>
              <w:bottom w:val="single" w:sz="4" w:space="0" w:color="auto"/>
              <w:right w:val="single" w:sz="4" w:space="0" w:color="auto"/>
            </w:tcBorders>
            <w:vAlign w:val="center"/>
          </w:tcPr>
          <w:p w:rsidR="006D2801" w:rsidRDefault="00DE51A1">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2023</w:t>
            </w:r>
            <w:r w:rsidR="00C70A09">
              <w:rPr>
                <w:rFonts w:ascii="仿宋_GB2312" w:eastAsia="仿宋_GB2312" w:hAnsi="宋体" w:cs="宋体" w:hint="eastAsia"/>
                <w:sz w:val="32"/>
                <w:szCs w:val="32"/>
              </w:rPr>
              <w:t>年末</w:t>
            </w:r>
          </w:p>
        </w:tc>
      </w:tr>
      <w:tr w:rsidR="006D2801">
        <w:trPr>
          <w:trHeight w:val="615"/>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1.核心一级资本净额</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22436.59</w:t>
            </w:r>
          </w:p>
        </w:tc>
      </w:tr>
      <w:tr w:rsidR="006D2801">
        <w:trPr>
          <w:trHeight w:val="614"/>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2.一级资本净额</w:t>
            </w:r>
          </w:p>
        </w:tc>
        <w:tc>
          <w:tcPr>
            <w:tcW w:w="3754"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22436.59</w:t>
            </w:r>
          </w:p>
        </w:tc>
      </w:tr>
      <w:tr w:rsidR="006D2801">
        <w:trPr>
          <w:trHeight w:val="615"/>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3.资本净额</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24844.25</w:t>
            </w:r>
          </w:p>
        </w:tc>
      </w:tr>
      <w:tr w:rsidR="006D2801">
        <w:trPr>
          <w:trHeight w:val="615"/>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4.信用风险加权资产</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195020.3</w:t>
            </w:r>
          </w:p>
        </w:tc>
      </w:tr>
      <w:tr w:rsidR="006D2801">
        <w:trPr>
          <w:trHeight w:val="614"/>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其中：表内风险加权资产</w:t>
            </w:r>
          </w:p>
        </w:tc>
        <w:tc>
          <w:tcPr>
            <w:tcW w:w="3754"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194838.5</w:t>
            </w:r>
          </w:p>
        </w:tc>
      </w:tr>
      <w:tr w:rsidR="006D2801">
        <w:trPr>
          <w:trHeight w:val="615"/>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表外风险加权资产</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181.8</w:t>
            </w:r>
          </w:p>
        </w:tc>
      </w:tr>
      <w:tr w:rsidR="006D2801">
        <w:trPr>
          <w:trHeight w:val="614"/>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5．市场风险加权资产</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0</w:t>
            </w:r>
          </w:p>
        </w:tc>
      </w:tr>
      <w:tr w:rsidR="006D2801">
        <w:trPr>
          <w:trHeight w:val="615"/>
          <w:jc w:val="center"/>
        </w:trPr>
        <w:tc>
          <w:tcPr>
            <w:tcW w:w="5136" w:type="dxa"/>
            <w:tcBorders>
              <w:top w:val="nil"/>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6．操作风险加权资产</w:t>
            </w:r>
          </w:p>
        </w:tc>
        <w:tc>
          <w:tcPr>
            <w:tcW w:w="3754" w:type="dxa"/>
            <w:tcBorders>
              <w:top w:val="nil"/>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21700</w:t>
            </w:r>
          </w:p>
        </w:tc>
      </w:tr>
      <w:tr w:rsidR="006D2801">
        <w:trPr>
          <w:trHeight w:val="615"/>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7．风险加权资产合计</w:t>
            </w:r>
          </w:p>
        </w:tc>
        <w:tc>
          <w:tcPr>
            <w:tcW w:w="375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216720.3</w:t>
            </w:r>
          </w:p>
        </w:tc>
      </w:tr>
      <w:tr w:rsidR="006D2801">
        <w:trPr>
          <w:trHeight w:val="614"/>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8．核心一级资本充足率</w:t>
            </w:r>
          </w:p>
        </w:tc>
        <w:tc>
          <w:tcPr>
            <w:tcW w:w="375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10.35</w:t>
            </w:r>
          </w:p>
        </w:tc>
      </w:tr>
      <w:tr w:rsidR="006D2801">
        <w:trPr>
          <w:trHeight w:val="615"/>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9．一级资本充足率</w:t>
            </w:r>
          </w:p>
        </w:tc>
        <w:tc>
          <w:tcPr>
            <w:tcW w:w="3754"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10.35</w:t>
            </w:r>
          </w:p>
        </w:tc>
      </w:tr>
      <w:tr w:rsidR="006D2801">
        <w:trPr>
          <w:trHeight w:val="615"/>
          <w:jc w:val="center"/>
        </w:trPr>
        <w:tc>
          <w:tcPr>
            <w:tcW w:w="5136" w:type="dxa"/>
            <w:tcBorders>
              <w:top w:val="single" w:sz="4" w:space="0" w:color="auto"/>
              <w:left w:val="single" w:sz="4" w:space="0" w:color="auto"/>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10．资本充足率</w:t>
            </w:r>
          </w:p>
        </w:tc>
        <w:tc>
          <w:tcPr>
            <w:tcW w:w="3754" w:type="dxa"/>
            <w:tcBorders>
              <w:top w:val="single" w:sz="4" w:space="0" w:color="auto"/>
              <w:left w:val="nil"/>
              <w:bottom w:val="single" w:sz="4" w:space="0" w:color="auto"/>
              <w:right w:val="single" w:sz="4" w:space="0" w:color="auto"/>
            </w:tcBorders>
            <w:vAlign w:val="center"/>
          </w:tcPr>
          <w:p w:rsidR="006D2801" w:rsidRDefault="00C70A09">
            <w:pPr>
              <w:shd w:val="clear" w:color="auto" w:fill="FFFFFF"/>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11.46</w:t>
            </w:r>
          </w:p>
        </w:tc>
      </w:tr>
    </w:tbl>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2.4  入股资金来源情况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我</w:t>
      </w:r>
      <w:proofErr w:type="gramStart"/>
      <w:r>
        <w:rPr>
          <w:rFonts w:ascii="仿宋_GB2312" w:eastAsia="仿宋_GB2312" w:hAnsi="仿宋" w:cs="宋体" w:hint="eastAsia"/>
          <w:sz w:val="32"/>
          <w:szCs w:val="32"/>
        </w:rPr>
        <w:t>行股东</w:t>
      </w:r>
      <w:proofErr w:type="gramEnd"/>
      <w:r>
        <w:rPr>
          <w:rFonts w:ascii="仿宋_GB2312" w:eastAsia="仿宋_GB2312" w:hAnsi="仿宋" w:cs="宋体" w:hint="eastAsia"/>
          <w:sz w:val="32"/>
          <w:szCs w:val="32"/>
        </w:rPr>
        <w:t>入股资金均为自有资金。没有使用信贷资金、委</w:t>
      </w:r>
      <w:r>
        <w:rPr>
          <w:rFonts w:ascii="仿宋_GB2312" w:eastAsia="仿宋_GB2312" w:hAnsi="仿宋" w:cs="宋体" w:hint="eastAsia"/>
          <w:sz w:val="32"/>
          <w:szCs w:val="32"/>
        </w:rPr>
        <w:lastRenderedPageBreak/>
        <w:t>托资金、债务资金或其他非自有资金入股，不存在虚假出资、出资不实、抽逃或变相抽逃出资等现象。</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2.5  控股股东、实际控制人、一致行动人、最终受益人及其变动情况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截止2023年12月31日，主要股东有宜春</w:t>
      </w:r>
      <w:proofErr w:type="gramStart"/>
      <w:r>
        <w:rPr>
          <w:rFonts w:ascii="仿宋_GB2312" w:eastAsia="仿宋_GB2312" w:hAnsi="仿宋" w:cs="宋体" w:hint="eastAsia"/>
          <w:sz w:val="32"/>
          <w:szCs w:val="32"/>
        </w:rPr>
        <w:t>市峰升实业</w:t>
      </w:r>
      <w:proofErr w:type="gramEnd"/>
      <w:r>
        <w:rPr>
          <w:rFonts w:ascii="仿宋_GB2312" w:eastAsia="仿宋_GB2312" w:hAnsi="仿宋" w:cs="宋体" w:hint="eastAsia"/>
          <w:sz w:val="32"/>
          <w:szCs w:val="32"/>
        </w:rPr>
        <w:t>有限公司，持股7462000股，占比6.4%；铜鼓发展控股集团有限公司，持股7277500股，占比6.24%；江西金仁实业有限公司，持股6396000股，占比5.49%。</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2.6  股权被采取诉讼保全措施或强制执行情况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我行股权未有被采取诉讼保全措施或强制执行情况。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2.7  股权被</w:t>
      </w:r>
      <w:proofErr w:type="gramStart"/>
      <w:r>
        <w:rPr>
          <w:rFonts w:ascii="仿宋_GB2312" w:eastAsia="仿宋_GB2312" w:hAnsi="仿宋" w:cs="宋体" w:hint="eastAsia"/>
          <w:sz w:val="32"/>
          <w:szCs w:val="32"/>
        </w:rPr>
        <w:t>渍押或</w:t>
      </w:r>
      <w:proofErr w:type="gramEnd"/>
      <w:r>
        <w:rPr>
          <w:rFonts w:ascii="仿宋_GB2312" w:eastAsia="仿宋_GB2312" w:hAnsi="仿宋" w:cs="宋体" w:hint="eastAsia"/>
          <w:sz w:val="32"/>
          <w:szCs w:val="32"/>
        </w:rPr>
        <w:t>解押情况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2023年，我行股权解冻户数0户，解冻股权0股。他行质押6户，冻结股权2939415股，质押占比2.52%，</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2.8  股东人数及股本金情况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截止2023年末，</w:t>
      </w:r>
      <w:r w:rsidR="00C16205">
        <w:rPr>
          <w:rFonts w:ascii="仿宋_GB2312" w:eastAsia="仿宋_GB2312" w:hAnsi="仿宋" w:cs="宋体" w:hint="eastAsia"/>
          <w:sz w:val="32"/>
          <w:szCs w:val="32"/>
        </w:rPr>
        <w:t>本行</w:t>
      </w:r>
      <w:r>
        <w:rPr>
          <w:rFonts w:ascii="仿宋_GB2312" w:eastAsia="仿宋_GB2312" w:hAnsi="仿宋" w:cs="宋体" w:hint="eastAsia"/>
          <w:sz w:val="32"/>
          <w:szCs w:val="32"/>
        </w:rPr>
        <w:t>股东人数370户、股本金余额11660.83万股，比上年（减少）4户，余额（增减）0股。</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2.9   控股股东、实际控制人、关联方、一致行动人、最终受益人关联交易情况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1、截止2023年12月31日，本公司各项贷款余额为264,185.86万元，风险加权资产总额216,720.30万元，资本净额为24,844.25万元（其中：一级资本净额为22,436.59万元；二级资本净额为2,407.66万元），核心资本充足率10.35%，资本充足率11.46%。</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股东中有2户企业法人和49户自然人在本公司办理了贷</w:t>
      </w:r>
      <w:r>
        <w:rPr>
          <w:rFonts w:ascii="仿宋_GB2312" w:eastAsia="仿宋_GB2312" w:hAnsi="仿宋" w:cs="宋体" w:hint="eastAsia"/>
          <w:sz w:val="32"/>
          <w:szCs w:val="32"/>
        </w:rPr>
        <w:lastRenderedPageBreak/>
        <w:t>款，贷款余额合计5,660.38万元，占各项贷款余额的2.14%（其中：企业法人股东贷款余额1,448.00万元，占各项贷款余额的0.55%；自然人股东贷款余额4,212.38万元，占各项贷款的1.59%）。</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2、重大关联交易情况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①本年度未发生重大非自然人关联交易。</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②本年度未发生重大自然人关联交易。</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3、一般关联交易情况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①本年度未发生一般非自然人关联交易；</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②本年度发生一般自然人关联交易22户，贷款金额453.70万元。</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以上一般关联交易操作规范，没有发现违规交易，没有造成资金损失和流失。</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2.10   控股股东、实际控制人、关联方、一致行动人、最终受益人情况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截止2023年12月31日，主要股东有宜春</w:t>
      </w:r>
      <w:proofErr w:type="gramStart"/>
      <w:r>
        <w:rPr>
          <w:rFonts w:ascii="仿宋_GB2312" w:eastAsia="仿宋_GB2312" w:hAnsi="仿宋" w:cs="宋体" w:hint="eastAsia"/>
          <w:sz w:val="32"/>
          <w:szCs w:val="32"/>
        </w:rPr>
        <w:t>市峰升实业</w:t>
      </w:r>
      <w:proofErr w:type="gramEnd"/>
      <w:r>
        <w:rPr>
          <w:rFonts w:ascii="仿宋_GB2312" w:eastAsia="仿宋_GB2312" w:hAnsi="仿宋" w:cs="宋体" w:hint="eastAsia"/>
          <w:sz w:val="32"/>
          <w:szCs w:val="32"/>
        </w:rPr>
        <w:t>有限公司，实际控制人郑立荣；铜鼓发展控股集团有限公司，实际控制人铜鼓县国有资产监督管理委员会；江西金仁实业有限公司，实际控制人王贤亮。主要股东控股股东、实际控制人、一致行动人、最终受益人未有变动。</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2.11   主要股东出质股权情况</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无</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2.12利润实现情况</w:t>
      </w:r>
    </w:p>
    <w:p w:rsidR="006D2801" w:rsidRDefault="00C16205">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本行</w:t>
      </w:r>
      <w:r w:rsidR="00C70A09">
        <w:rPr>
          <w:rFonts w:ascii="仿宋_GB2312" w:eastAsia="仿宋_GB2312" w:hAnsi="仿宋" w:cs="宋体" w:hint="eastAsia"/>
          <w:sz w:val="32"/>
          <w:szCs w:val="32"/>
        </w:rPr>
        <w:t>2023年实现利润总额2675.69万元，同比增加538.49</w:t>
      </w:r>
      <w:r w:rsidR="00C70A09">
        <w:rPr>
          <w:rFonts w:ascii="仿宋_GB2312" w:eastAsia="仿宋_GB2312" w:hAnsi="仿宋" w:cs="宋体" w:hint="eastAsia"/>
          <w:sz w:val="32"/>
          <w:szCs w:val="32"/>
        </w:rPr>
        <w:lastRenderedPageBreak/>
        <w:t>万元，增幅25.20%；缴纳当期所得税1148.97万元；实现净利润2005.69万元, 同比增加338.49万元，增幅20.30% 。</w:t>
      </w:r>
    </w:p>
    <w:p w:rsidR="006D2801" w:rsidRDefault="00C70A09">
      <w:pPr>
        <w:shd w:val="clear" w:color="auto" w:fill="FFFFFF"/>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2.13利润分配情况</w:t>
      </w:r>
    </w:p>
    <w:p w:rsidR="00C11DEE" w:rsidRDefault="00C11DEE" w:rsidP="00C11DEE">
      <w:pPr>
        <w:shd w:val="clear" w:color="auto" w:fill="FFFFFF"/>
        <w:spacing w:line="560" w:lineRule="exact"/>
        <w:ind w:firstLineChars="200" w:firstLine="640"/>
        <w:rPr>
          <w:rFonts w:ascii="仿宋_GB2312" w:eastAsia="仿宋_GB2312" w:hAnsi="仿宋" w:cs="宋体"/>
          <w:sz w:val="32"/>
          <w:szCs w:val="32"/>
        </w:rPr>
      </w:pPr>
      <w:r w:rsidRPr="00C11DEE">
        <w:rPr>
          <w:rFonts w:ascii="仿宋_GB2312" w:eastAsia="仿宋_GB2312" w:hAnsi="仿宋" w:cs="宋体" w:hint="eastAsia"/>
          <w:sz w:val="32"/>
          <w:szCs w:val="32"/>
        </w:rPr>
        <w:t>2023年可供分配的利润2005.69万元，提取法定盈余公积金200.57万元，提取特种专项准备63.88万元，提取股金红利932.87万元，提取一般风险准备364.09万元，</w:t>
      </w:r>
      <w:r w:rsidRPr="00C11DEE">
        <w:rPr>
          <w:rFonts w:ascii="仿宋_GB2312" w:eastAsia="仿宋_GB2312" w:hint="eastAsia"/>
          <w:sz w:val="32"/>
          <w:szCs w:val="32"/>
        </w:rPr>
        <w:t>留存未分配利润408.12万元。</w:t>
      </w:r>
    </w:p>
    <w:p w:rsidR="006D2801" w:rsidRDefault="00C70A09">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三、董事、监事、高级管理层人员和员工情况</w:t>
      </w:r>
    </w:p>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3.1  股东提名董、监事情况</w:t>
      </w:r>
    </w:p>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hint="eastAsia"/>
          <w:bCs/>
          <w:color w:val="000000"/>
          <w:sz w:val="32"/>
          <w:szCs w:val="32"/>
        </w:rPr>
        <w:t>2023</w:t>
      </w:r>
      <w:r w:rsidR="00C16205">
        <w:rPr>
          <w:rFonts w:ascii="仿宋_GB2312" w:eastAsia="仿宋_GB2312" w:hAnsi="仿宋" w:hint="eastAsia"/>
          <w:bCs/>
          <w:color w:val="000000"/>
          <w:sz w:val="32"/>
          <w:szCs w:val="32"/>
        </w:rPr>
        <w:t>年末，本行</w:t>
      </w:r>
      <w:r>
        <w:rPr>
          <w:rFonts w:ascii="仿宋_GB2312" w:eastAsia="仿宋_GB2312" w:hAnsi="仿宋" w:hint="eastAsia"/>
          <w:bCs/>
          <w:color w:val="000000"/>
          <w:sz w:val="32"/>
          <w:szCs w:val="32"/>
        </w:rPr>
        <w:t>共有董事9人，其中</w:t>
      </w:r>
      <w:r w:rsidR="00C16205">
        <w:rPr>
          <w:rFonts w:ascii="仿宋_GB2312" w:eastAsia="仿宋_GB2312" w:hAnsi="仿宋" w:hint="eastAsia"/>
          <w:bCs/>
          <w:color w:val="000000"/>
          <w:sz w:val="32"/>
          <w:szCs w:val="32"/>
        </w:rPr>
        <w:t>执行董事</w:t>
      </w:r>
      <w:r w:rsidR="000E5401">
        <w:rPr>
          <w:rFonts w:ascii="仿宋_GB2312" w:eastAsia="仿宋_GB2312" w:hAnsi="仿宋" w:hint="eastAsia"/>
          <w:bCs/>
          <w:color w:val="000000"/>
          <w:sz w:val="32"/>
          <w:szCs w:val="32"/>
        </w:rPr>
        <w:t>（职工董事）</w:t>
      </w:r>
      <w:r w:rsidR="00C16205">
        <w:rPr>
          <w:rFonts w:ascii="仿宋_GB2312" w:eastAsia="仿宋_GB2312" w:hAnsi="仿宋" w:hint="eastAsia"/>
          <w:bCs/>
          <w:color w:val="000000"/>
          <w:sz w:val="32"/>
          <w:szCs w:val="32"/>
        </w:rPr>
        <w:t>3人，</w:t>
      </w:r>
      <w:r>
        <w:rPr>
          <w:rFonts w:ascii="仿宋_GB2312" w:eastAsia="仿宋_GB2312" w:hAnsi="仿宋" w:hint="eastAsia"/>
          <w:bCs/>
          <w:color w:val="000000"/>
          <w:sz w:val="32"/>
          <w:szCs w:val="32"/>
        </w:rPr>
        <w:t>独立董事3人，股东董事3人。监事6人，其中</w:t>
      </w:r>
      <w:r w:rsidR="00C16205">
        <w:rPr>
          <w:rFonts w:ascii="仿宋_GB2312" w:eastAsia="仿宋_GB2312" w:hAnsi="仿宋" w:hint="eastAsia"/>
          <w:bCs/>
          <w:color w:val="000000"/>
          <w:sz w:val="32"/>
          <w:szCs w:val="32"/>
        </w:rPr>
        <w:t>职工监事2人、</w:t>
      </w:r>
      <w:r>
        <w:rPr>
          <w:rFonts w:ascii="仿宋_GB2312" w:eastAsia="仿宋_GB2312" w:hAnsi="仿宋" w:hint="eastAsia"/>
          <w:bCs/>
          <w:color w:val="000000"/>
          <w:sz w:val="32"/>
          <w:szCs w:val="32"/>
        </w:rPr>
        <w:t>外部监事2人</w:t>
      </w:r>
      <w:r w:rsidR="00C16205">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股东监事2人</w:t>
      </w:r>
      <w:r>
        <w:rPr>
          <w:rFonts w:ascii="仿宋_GB2312" w:eastAsia="仿宋_GB2312" w:hAnsi="仿宋" w:cs="宋体" w:hint="eastAsia"/>
          <w:bCs/>
          <w:color w:val="000000"/>
          <w:sz w:val="32"/>
          <w:szCs w:val="32"/>
        </w:rPr>
        <w:t>。</w:t>
      </w:r>
    </w:p>
    <w:p w:rsidR="006D2801" w:rsidRDefault="00C70A09">
      <w:pPr>
        <w:shd w:val="clear" w:color="auto" w:fill="FFFFFF"/>
        <w:tabs>
          <w:tab w:val="left" w:pos="630"/>
        </w:tabs>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3.2  董事</w:t>
      </w:r>
    </w:p>
    <w:tbl>
      <w:tblPr>
        <w:tblW w:w="8836" w:type="dxa"/>
        <w:jc w:val="center"/>
        <w:tblLayout w:type="fixed"/>
        <w:tblLook w:val="04A0"/>
      </w:tblPr>
      <w:tblGrid>
        <w:gridCol w:w="940"/>
        <w:gridCol w:w="1316"/>
        <w:gridCol w:w="940"/>
        <w:gridCol w:w="5640"/>
      </w:tblGrid>
      <w:tr w:rsidR="006D2801">
        <w:trPr>
          <w:trHeight w:val="394"/>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序号</w:t>
            </w:r>
          </w:p>
        </w:tc>
        <w:tc>
          <w:tcPr>
            <w:tcW w:w="131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姓名</w:t>
            </w:r>
          </w:p>
        </w:tc>
        <w:tc>
          <w:tcPr>
            <w:tcW w:w="940"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proofErr w:type="gramStart"/>
            <w:r>
              <w:rPr>
                <w:rFonts w:ascii="仿宋_GB2312" w:eastAsia="仿宋_GB2312" w:hAnsi="仿宋" w:cs="宋体" w:hint="eastAsia"/>
                <w:color w:val="000000"/>
                <w:sz w:val="30"/>
                <w:szCs w:val="30"/>
              </w:rPr>
              <w:t>姓别</w:t>
            </w:r>
            <w:proofErr w:type="gramEnd"/>
          </w:p>
        </w:tc>
        <w:tc>
          <w:tcPr>
            <w:tcW w:w="5640"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任   职</w:t>
            </w:r>
          </w:p>
        </w:tc>
      </w:tr>
      <w:tr w:rsidR="006D2801">
        <w:trPr>
          <w:trHeight w:val="790"/>
          <w:jc w:val="center"/>
        </w:trPr>
        <w:tc>
          <w:tcPr>
            <w:tcW w:w="94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1</w:t>
            </w:r>
          </w:p>
        </w:tc>
        <w:tc>
          <w:tcPr>
            <w:tcW w:w="131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罗  珺</w:t>
            </w:r>
          </w:p>
        </w:tc>
        <w:tc>
          <w:tcPr>
            <w:tcW w:w="940"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董事长</w:t>
            </w:r>
          </w:p>
        </w:tc>
      </w:tr>
      <w:tr w:rsidR="006D2801">
        <w:trPr>
          <w:trHeight w:val="251"/>
          <w:jc w:val="center"/>
        </w:trPr>
        <w:tc>
          <w:tcPr>
            <w:tcW w:w="94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2</w:t>
            </w:r>
          </w:p>
        </w:tc>
        <w:tc>
          <w:tcPr>
            <w:tcW w:w="131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王纪鑫</w:t>
            </w:r>
          </w:p>
        </w:tc>
        <w:tc>
          <w:tcPr>
            <w:tcW w:w="940"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b/>
                <w:color w:val="000000"/>
                <w:sz w:val="30"/>
                <w:szCs w:val="30"/>
              </w:rPr>
            </w:pPr>
            <w:r>
              <w:rPr>
                <w:rFonts w:ascii="仿宋_GB2312" w:eastAsia="仿宋_GB2312" w:hAnsi="仿宋" w:hint="eastAsia"/>
                <w:color w:val="000000"/>
                <w:sz w:val="30"/>
                <w:szCs w:val="30"/>
              </w:rPr>
              <w:t>执行董事</w:t>
            </w:r>
          </w:p>
        </w:tc>
      </w:tr>
      <w:tr w:rsidR="006D2801">
        <w:trPr>
          <w:trHeight w:val="171"/>
          <w:jc w:val="center"/>
        </w:trPr>
        <w:tc>
          <w:tcPr>
            <w:tcW w:w="94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3</w:t>
            </w:r>
          </w:p>
        </w:tc>
        <w:tc>
          <w:tcPr>
            <w:tcW w:w="131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李日强</w:t>
            </w:r>
          </w:p>
        </w:tc>
        <w:tc>
          <w:tcPr>
            <w:tcW w:w="940"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b/>
                <w:color w:val="000000"/>
                <w:sz w:val="30"/>
                <w:szCs w:val="30"/>
              </w:rPr>
            </w:pPr>
            <w:r>
              <w:rPr>
                <w:rFonts w:ascii="仿宋_GB2312" w:eastAsia="仿宋_GB2312" w:hAnsi="仿宋" w:hint="eastAsia"/>
                <w:color w:val="000000"/>
                <w:sz w:val="30"/>
                <w:szCs w:val="30"/>
              </w:rPr>
              <w:t>职工董事</w:t>
            </w:r>
          </w:p>
        </w:tc>
      </w:tr>
      <w:tr w:rsidR="006D2801">
        <w:trPr>
          <w:trHeight w:val="690"/>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4</w:t>
            </w:r>
          </w:p>
        </w:tc>
        <w:tc>
          <w:tcPr>
            <w:tcW w:w="131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 xml:space="preserve">王  </w:t>
            </w:r>
            <w:proofErr w:type="gramStart"/>
            <w:r>
              <w:rPr>
                <w:rFonts w:ascii="仿宋_GB2312" w:eastAsia="仿宋_GB2312" w:hAnsi="仿宋" w:hint="eastAsia"/>
                <w:color w:val="000000"/>
                <w:sz w:val="30"/>
                <w:szCs w:val="30"/>
              </w:rPr>
              <w:t>斌</w:t>
            </w:r>
            <w:proofErr w:type="gramEnd"/>
          </w:p>
        </w:tc>
        <w:tc>
          <w:tcPr>
            <w:tcW w:w="940"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single" w:sz="4" w:space="0" w:color="auto"/>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独立董事</w:t>
            </w:r>
          </w:p>
        </w:tc>
      </w:tr>
      <w:tr w:rsidR="006D2801">
        <w:trPr>
          <w:trHeight w:val="688"/>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5</w:t>
            </w:r>
          </w:p>
        </w:tc>
        <w:tc>
          <w:tcPr>
            <w:tcW w:w="131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陈英杰</w:t>
            </w:r>
          </w:p>
        </w:tc>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single" w:sz="4" w:space="0" w:color="auto"/>
              <w:left w:val="single" w:sz="4" w:space="0" w:color="auto"/>
              <w:bottom w:val="single" w:sz="4" w:space="0" w:color="auto"/>
              <w:right w:val="single" w:sz="4" w:space="0" w:color="auto"/>
            </w:tcBorders>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独立董事</w:t>
            </w:r>
          </w:p>
        </w:tc>
      </w:tr>
      <w:tr w:rsidR="006D2801">
        <w:trPr>
          <w:trHeight w:val="394"/>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6</w:t>
            </w:r>
          </w:p>
        </w:tc>
        <w:tc>
          <w:tcPr>
            <w:tcW w:w="131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proofErr w:type="gramStart"/>
            <w:r>
              <w:rPr>
                <w:rFonts w:ascii="仿宋_GB2312" w:eastAsia="仿宋_GB2312" w:hAnsi="仿宋" w:hint="eastAsia"/>
                <w:color w:val="000000"/>
                <w:sz w:val="30"/>
                <w:szCs w:val="30"/>
              </w:rPr>
              <w:t>邹</w:t>
            </w:r>
            <w:proofErr w:type="gramEnd"/>
            <w:r>
              <w:rPr>
                <w:rFonts w:ascii="仿宋_GB2312" w:eastAsia="仿宋_GB2312" w:hAnsi="仿宋" w:hint="eastAsia"/>
                <w:color w:val="000000"/>
                <w:sz w:val="30"/>
                <w:szCs w:val="30"/>
              </w:rPr>
              <w:t xml:space="preserve">  燕</w:t>
            </w:r>
          </w:p>
        </w:tc>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女</w:t>
            </w:r>
          </w:p>
        </w:tc>
        <w:tc>
          <w:tcPr>
            <w:tcW w:w="5640" w:type="dxa"/>
            <w:tcBorders>
              <w:top w:val="single" w:sz="4" w:space="0" w:color="auto"/>
              <w:left w:val="single" w:sz="4" w:space="0" w:color="auto"/>
              <w:bottom w:val="single" w:sz="4" w:space="0" w:color="auto"/>
              <w:right w:val="single" w:sz="4" w:space="0" w:color="auto"/>
            </w:tcBorders>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独立董事</w:t>
            </w:r>
          </w:p>
        </w:tc>
      </w:tr>
      <w:tr w:rsidR="006D2801">
        <w:trPr>
          <w:trHeight w:val="394"/>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7</w:t>
            </w:r>
          </w:p>
        </w:tc>
        <w:tc>
          <w:tcPr>
            <w:tcW w:w="131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熊  飞</w:t>
            </w:r>
          </w:p>
        </w:tc>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single" w:sz="4" w:space="0" w:color="auto"/>
              <w:left w:val="single" w:sz="4" w:space="0" w:color="auto"/>
              <w:bottom w:val="single" w:sz="4" w:space="0" w:color="auto"/>
              <w:right w:val="single" w:sz="4" w:space="0" w:color="auto"/>
            </w:tcBorders>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股东董事</w:t>
            </w:r>
          </w:p>
        </w:tc>
      </w:tr>
      <w:tr w:rsidR="006D2801">
        <w:trPr>
          <w:trHeight w:val="744"/>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8</w:t>
            </w:r>
          </w:p>
        </w:tc>
        <w:tc>
          <w:tcPr>
            <w:tcW w:w="131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王贤亮</w:t>
            </w:r>
          </w:p>
        </w:tc>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single" w:sz="4" w:space="0" w:color="auto"/>
              <w:left w:val="single" w:sz="4" w:space="0" w:color="auto"/>
              <w:bottom w:val="single" w:sz="4" w:space="0" w:color="auto"/>
              <w:right w:val="single" w:sz="4" w:space="0" w:color="auto"/>
            </w:tcBorders>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股东董事</w:t>
            </w:r>
          </w:p>
        </w:tc>
      </w:tr>
      <w:tr w:rsidR="006D2801">
        <w:trPr>
          <w:trHeight w:val="394"/>
          <w:jc w:val="center"/>
        </w:trPr>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9</w:t>
            </w:r>
          </w:p>
        </w:tc>
        <w:tc>
          <w:tcPr>
            <w:tcW w:w="131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巢文庆</w:t>
            </w:r>
          </w:p>
        </w:tc>
        <w:tc>
          <w:tcPr>
            <w:tcW w:w="94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5640" w:type="dxa"/>
            <w:tcBorders>
              <w:top w:val="single" w:sz="4" w:space="0" w:color="auto"/>
              <w:left w:val="single" w:sz="4" w:space="0" w:color="auto"/>
              <w:bottom w:val="single" w:sz="4" w:space="0" w:color="auto"/>
              <w:right w:val="single" w:sz="4" w:space="0" w:color="auto"/>
            </w:tcBorders>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股东董事</w:t>
            </w:r>
          </w:p>
        </w:tc>
      </w:tr>
    </w:tbl>
    <w:p w:rsidR="004B52FD" w:rsidRDefault="004B52FD" w:rsidP="004B52FD">
      <w:pPr>
        <w:shd w:val="clear" w:color="auto" w:fill="FFFFFF"/>
        <w:spacing w:line="560" w:lineRule="exact"/>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lastRenderedPageBreak/>
        <w:t xml:space="preserve">  </w:t>
      </w:r>
    </w:p>
    <w:p w:rsidR="006D2801" w:rsidRDefault="00C70A09" w:rsidP="004B52FD">
      <w:pPr>
        <w:shd w:val="clear" w:color="auto" w:fill="FFFFFF"/>
        <w:spacing w:line="560" w:lineRule="exact"/>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3.3  监事</w:t>
      </w:r>
    </w:p>
    <w:tbl>
      <w:tblPr>
        <w:tblpPr w:leftFromText="180" w:rightFromText="180" w:vertAnchor="text" w:horzAnchor="page" w:tblpX="1605" w:tblpY="483"/>
        <w:tblOverlap w:val="never"/>
        <w:tblW w:w="8851" w:type="dxa"/>
        <w:tblLayout w:type="fixed"/>
        <w:tblLook w:val="04A0"/>
      </w:tblPr>
      <w:tblGrid>
        <w:gridCol w:w="944"/>
        <w:gridCol w:w="1488"/>
        <w:gridCol w:w="1699"/>
        <w:gridCol w:w="4720"/>
      </w:tblGrid>
      <w:tr w:rsidR="006D2801">
        <w:trPr>
          <w:trHeight w:val="415"/>
        </w:trPr>
        <w:tc>
          <w:tcPr>
            <w:tcW w:w="94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序号</w:t>
            </w:r>
          </w:p>
        </w:tc>
        <w:tc>
          <w:tcPr>
            <w:tcW w:w="148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姓名</w:t>
            </w:r>
          </w:p>
        </w:tc>
        <w:tc>
          <w:tcPr>
            <w:tcW w:w="169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proofErr w:type="gramStart"/>
            <w:r>
              <w:rPr>
                <w:rFonts w:ascii="仿宋_GB2312" w:eastAsia="仿宋_GB2312" w:hAnsi="仿宋" w:hint="eastAsia"/>
                <w:color w:val="000000"/>
                <w:sz w:val="30"/>
                <w:szCs w:val="30"/>
              </w:rPr>
              <w:t>姓别</w:t>
            </w:r>
            <w:proofErr w:type="gramEnd"/>
          </w:p>
        </w:tc>
        <w:tc>
          <w:tcPr>
            <w:tcW w:w="4720"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任   职</w:t>
            </w:r>
          </w:p>
        </w:tc>
      </w:tr>
      <w:tr w:rsidR="006D2801">
        <w:trPr>
          <w:trHeight w:val="379"/>
        </w:trPr>
        <w:tc>
          <w:tcPr>
            <w:tcW w:w="944"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1</w:t>
            </w:r>
          </w:p>
        </w:tc>
        <w:tc>
          <w:tcPr>
            <w:tcW w:w="148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proofErr w:type="gramStart"/>
            <w:r>
              <w:rPr>
                <w:rFonts w:ascii="仿宋_GB2312" w:eastAsia="仿宋_GB2312" w:hAnsi="仿宋" w:hint="eastAsia"/>
                <w:color w:val="000000"/>
                <w:sz w:val="30"/>
                <w:szCs w:val="30"/>
              </w:rPr>
              <w:t>余乐</w:t>
            </w:r>
            <w:proofErr w:type="gramEnd"/>
          </w:p>
        </w:tc>
        <w:tc>
          <w:tcPr>
            <w:tcW w:w="169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472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监事长</w:t>
            </w:r>
          </w:p>
        </w:tc>
      </w:tr>
      <w:tr w:rsidR="006D2801">
        <w:trPr>
          <w:trHeight w:val="342"/>
        </w:trPr>
        <w:tc>
          <w:tcPr>
            <w:tcW w:w="94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2</w:t>
            </w:r>
          </w:p>
        </w:tc>
        <w:tc>
          <w:tcPr>
            <w:tcW w:w="148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陈望</w:t>
            </w:r>
          </w:p>
        </w:tc>
        <w:tc>
          <w:tcPr>
            <w:tcW w:w="169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4720" w:type="dxa"/>
            <w:tcBorders>
              <w:top w:val="single" w:sz="4" w:space="0" w:color="auto"/>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职工监事</w:t>
            </w:r>
          </w:p>
        </w:tc>
      </w:tr>
      <w:tr w:rsidR="006D2801">
        <w:trPr>
          <w:trHeight w:val="342"/>
        </w:trPr>
        <w:tc>
          <w:tcPr>
            <w:tcW w:w="944"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3</w:t>
            </w:r>
          </w:p>
        </w:tc>
        <w:tc>
          <w:tcPr>
            <w:tcW w:w="148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proofErr w:type="gramStart"/>
            <w:r>
              <w:rPr>
                <w:rFonts w:ascii="仿宋_GB2312" w:eastAsia="仿宋_GB2312" w:hAnsi="仿宋" w:hint="eastAsia"/>
                <w:color w:val="000000"/>
                <w:sz w:val="30"/>
                <w:szCs w:val="30"/>
              </w:rPr>
              <w:t>王方勇</w:t>
            </w:r>
            <w:proofErr w:type="gramEnd"/>
          </w:p>
        </w:tc>
        <w:tc>
          <w:tcPr>
            <w:tcW w:w="169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472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sidRPr="00C16205">
              <w:rPr>
                <w:rFonts w:ascii="仿宋_GB2312" w:eastAsia="仿宋_GB2312" w:hAnsi="仿宋" w:hint="eastAsia"/>
                <w:color w:val="000000"/>
                <w:sz w:val="30"/>
                <w:szCs w:val="30"/>
              </w:rPr>
              <w:t>股东监事</w:t>
            </w:r>
          </w:p>
        </w:tc>
      </w:tr>
      <w:tr w:rsidR="006D2801">
        <w:trPr>
          <w:trHeight w:val="293"/>
        </w:trPr>
        <w:tc>
          <w:tcPr>
            <w:tcW w:w="944"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4</w:t>
            </w:r>
          </w:p>
        </w:tc>
        <w:tc>
          <w:tcPr>
            <w:tcW w:w="148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郑立荣</w:t>
            </w:r>
          </w:p>
        </w:tc>
        <w:tc>
          <w:tcPr>
            <w:tcW w:w="169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4720" w:type="dxa"/>
            <w:tcBorders>
              <w:top w:val="nil"/>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sidRPr="00C16205">
              <w:rPr>
                <w:rFonts w:ascii="仿宋_GB2312" w:eastAsia="仿宋_GB2312" w:hAnsi="仿宋" w:hint="eastAsia"/>
                <w:color w:val="000000"/>
                <w:sz w:val="30"/>
                <w:szCs w:val="30"/>
              </w:rPr>
              <w:t>股东监事</w:t>
            </w:r>
          </w:p>
        </w:tc>
      </w:tr>
      <w:tr w:rsidR="006D2801">
        <w:trPr>
          <w:trHeight w:val="293"/>
        </w:trPr>
        <w:tc>
          <w:tcPr>
            <w:tcW w:w="944"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5</w:t>
            </w:r>
          </w:p>
        </w:tc>
        <w:tc>
          <w:tcPr>
            <w:tcW w:w="148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陈超</w:t>
            </w:r>
          </w:p>
        </w:tc>
        <w:tc>
          <w:tcPr>
            <w:tcW w:w="169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男</w:t>
            </w:r>
          </w:p>
        </w:tc>
        <w:tc>
          <w:tcPr>
            <w:tcW w:w="4720"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 xml:space="preserve"> </w:t>
            </w:r>
            <w:r w:rsidR="004B52FD">
              <w:rPr>
                <w:rFonts w:ascii="仿宋_GB2312" w:eastAsia="仿宋_GB2312" w:hAnsi="仿宋" w:hint="eastAsia"/>
                <w:color w:val="000000"/>
                <w:sz w:val="30"/>
                <w:szCs w:val="30"/>
              </w:rPr>
              <w:t>外部监事</w:t>
            </w:r>
          </w:p>
        </w:tc>
      </w:tr>
      <w:tr w:rsidR="006D2801">
        <w:trPr>
          <w:trHeight w:val="388"/>
        </w:trPr>
        <w:tc>
          <w:tcPr>
            <w:tcW w:w="94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6</w:t>
            </w:r>
          </w:p>
        </w:tc>
        <w:tc>
          <w:tcPr>
            <w:tcW w:w="148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proofErr w:type="gramStart"/>
            <w:r>
              <w:rPr>
                <w:rFonts w:ascii="仿宋_GB2312" w:eastAsia="仿宋_GB2312" w:hAnsi="仿宋" w:hint="eastAsia"/>
                <w:color w:val="000000"/>
                <w:sz w:val="30"/>
                <w:szCs w:val="30"/>
              </w:rPr>
              <w:t>曾海琦</w:t>
            </w:r>
            <w:proofErr w:type="gramEnd"/>
          </w:p>
        </w:tc>
        <w:tc>
          <w:tcPr>
            <w:tcW w:w="169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女</w:t>
            </w:r>
          </w:p>
        </w:tc>
        <w:tc>
          <w:tcPr>
            <w:tcW w:w="4720" w:type="dxa"/>
            <w:tcBorders>
              <w:top w:val="single" w:sz="4" w:space="0" w:color="auto"/>
              <w:left w:val="nil"/>
              <w:bottom w:val="single" w:sz="4" w:space="0" w:color="auto"/>
              <w:right w:val="single" w:sz="4" w:space="0" w:color="auto"/>
            </w:tcBorders>
            <w:vAlign w:val="center"/>
          </w:tcPr>
          <w:p w:rsidR="006D2801" w:rsidRDefault="004B52FD">
            <w:pPr>
              <w:spacing w:line="560" w:lineRule="exact"/>
              <w:jc w:val="center"/>
              <w:rPr>
                <w:rFonts w:ascii="仿宋_GB2312" w:eastAsia="仿宋_GB2312" w:hAnsi="仿宋"/>
                <w:color w:val="000000"/>
                <w:sz w:val="30"/>
                <w:szCs w:val="30"/>
              </w:rPr>
            </w:pPr>
            <w:r>
              <w:rPr>
                <w:rFonts w:ascii="仿宋_GB2312" w:eastAsia="仿宋_GB2312" w:hAnsi="仿宋" w:hint="eastAsia"/>
                <w:color w:val="000000"/>
                <w:sz w:val="30"/>
                <w:szCs w:val="30"/>
              </w:rPr>
              <w:t>外部监事</w:t>
            </w:r>
          </w:p>
        </w:tc>
      </w:tr>
    </w:tbl>
    <w:p w:rsidR="000E5401" w:rsidRDefault="000E5401">
      <w:pPr>
        <w:shd w:val="clear" w:color="auto" w:fill="FFFFFF"/>
        <w:spacing w:line="560" w:lineRule="exact"/>
        <w:ind w:firstLineChars="200" w:firstLine="640"/>
        <w:rPr>
          <w:rFonts w:ascii="仿宋_GB2312" w:eastAsia="仿宋_GB2312" w:hAnsi="仿宋" w:cs="宋体"/>
          <w:bCs/>
          <w:color w:val="000000"/>
          <w:sz w:val="32"/>
          <w:szCs w:val="32"/>
        </w:rPr>
      </w:pPr>
    </w:p>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3.4 高级管理层</w:t>
      </w:r>
    </w:p>
    <w:p w:rsidR="000E5401" w:rsidRDefault="000E5401">
      <w:pPr>
        <w:shd w:val="clear" w:color="auto" w:fill="FFFFFF"/>
        <w:spacing w:line="560" w:lineRule="exact"/>
        <w:ind w:firstLineChars="200" w:firstLine="640"/>
        <w:rPr>
          <w:rFonts w:ascii="仿宋_GB2312" w:eastAsia="仿宋_GB2312" w:hAnsi="仿宋" w:cs="宋体"/>
          <w:bCs/>
          <w:color w:val="000000"/>
          <w:sz w:val="32"/>
          <w:szCs w:val="32"/>
        </w:rPr>
      </w:pPr>
    </w:p>
    <w:tbl>
      <w:tblPr>
        <w:tblW w:w="8820" w:type="dxa"/>
        <w:jc w:val="center"/>
        <w:tblLayout w:type="fixed"/>
        <w:tblLook w:val="04A0"/>
      </w:tblPr>
      <w:tblGrid>
        <w:gridCol w:w="548"/>
        <w:gridCol w:w="1279"/>
        <w:gridCol w:w="548"/>
        <w:gridCol w:w="1279"/>
        <w:gridCol w:w="1206"/>
        <w:gridCol w:w="3960"/>
      </w:tblGrid>
      <w:tr w:rsidR="006D2801">
        <w:trPr>
          <w:trHeight w:val="584"/>
          <w:jc w:val="center"/>
        </w:trPr>
        <w:tc>
          <w:tcPr>
            <w:tcW w:w="548"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序号</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姓名</w:t>
            </w:r>
          </w:p>
        </w:tc>
        <w:tc>
          <w:tcPr>
            <w:tcW w:w="54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性别</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职务</w:t>
            </w:r>
          </w:p>
        </w:tc>
        <w:tc>
          <w:tcPr>
            <w:tcW w:w="120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从业</w:t>
            </w:r>
          </w:p>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年限</w:t>
            </w:r>
          </w:p>
        </w:tc>
        <w:tc>
          <w:tcPr>
            <w:tcW w:w="3960"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分管工作范围</w:t>
            </w:r>
          </w:p>
        </w:tc>
      </w:tr>
      <w:tr w:rsidR="006D2801">
        <w:trPr>
          <w:trHeight w:val="1019"/>
          <w:jc w:val="center"/>
        </w:trPr>
        <w:tc>
          <w:tcPr>
            <w:tcW w:w="548"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1</w:t>
            </w:r>
          </w:p>
        </w:tc>
        <w:tc>
          <w:tcPr>
            <w:tcW w:w="127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hint="eastAsia"/>
                <w:color w:val="000000"/>
                <w:sz w:val="30"/>
                <w:szCs w:val="30"/>
              </w:rPr>
              <w:t xml:space="preserve">罗  </w:t>
            </w:r>
            <w:r>
              <w:rPr>
                <w:rFonts w:ascii="宋体" w:hAnsi="宋体" w:cs="宋体" w:hint="eastAsia"/>
                <w:color w:val="000000"/>
                <w:sz w:val="30"/>
                <w:szCs w:val="30"/>
              </w:rPr>
              <w:t>珺</w:t>
            </w:r>
          </w:p>
        </w:tc>
        <w:tc>
          <w:tcPr>
            <w:tcW w:w="54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男</w:t>
            </w:r>
          </w:p>
        </w:tc>
        <w:tc>
          <w:tcPr>
            <w:tcW w:w="127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董事长</w:t>
            </w:r>
          </w:p>
        </w:tc>
        <w:tc>
          <w:tcPr>
            <w:tcW w:w="120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27</w:t>
            </w:r>
          </w:p>
        </w:tc>
        <w:tc>
          <w:tcPr>
            <w:tcW w:w="3960" w:type="dxa"/>
            <w:tcBorders>
              <w:top w:val="nil"/>
              <w:left w:val="nil"/>
              <w:bottom w:val="single" w:sz="4" w:space="0" w:color="auto"/>
              <w:right w:val="single" w:sz="4" w:space="0" w:color="auto"/>
            </w:tcBorders>
            <w:vAlign w:val="center"/>
          </w:tcPr>
          <w:p w:rsidR="006D2801" w:rsidRDefault="00C70A09">
            <w:pPr>
              <w:spacing w:line="560" w:lineRule="exact"/>
              <w:ind w:firstLineChars="200" w:firstLine="640"/>
              <w:rPr>
                <w:rFonts w:ascii="仿宋_GB2312" w:eastAsia="仿宋_GB2312"/>
                <w:sz w:val="32"/>
                <w:szCs w:val="32"/>
              </w:rPr>
            </w:pPr>
            <w:r>
              <w:rPr>
                <w:rFonts w:ascii="仿宋_GB2312" w:eastAsia="仿宋_GB2312" w:hint="eastAsia"/>
                <w:sz w:val="32"/>
                <w:szCs w:val="32"/>
              </w:rPr>
              <w:t>主持全面工作。负责人力资源（办公室）、不良贷款清收工作；分管办公室、清收事业部；组织履行董事会职责。</w:t>
            </w:r>
          </w:p>
        </w:tc>
      </w:tr>
      <w:tr w:rsidR="006D2801">
        <w:trPr>
          <w:trHeight w:val="560"/>
          <w:jc w:val="center"/>
        </w:trPr>
        <w:tc>
          <w:tcPr>
            <w:tcW w:w="548"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2</w:t>
            </w:r>
          </w:p>
        </w:tc>
        <w:tc>
          <w:tcPr>
            <w:tcW w:w="127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王纪鑫</w:t>
            </w:r>
          </w:p>
        </w:tc>
        <w:tc>
          <w:tcPr>
            <w:tcW w:w="548"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男</w:t>
            </w:r>
          </w:p>
        </w:tc>
        <w:tc>
          <w:tcPr>
            <w:tcW w:w="1279"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行长</w:t>
            </w:r>
          </w:p>
        </w:tc>
        <w:tc>
          <w:tcPr>
            <w:tcW w:w="120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33</w:t>
            </w:r>
          </w:p>
        </w:tc>
        <w:tc>
          <w:tcPr>
            <w:tcW w:w="3960" w:type="dxa"/>
            <w:tcBorders>
              <w:top w:val="nil"/>
              <w:left w:val="nil"/>
              <w:bottom w:val="single" w:sz="4" w:space="0" w:color="auto"/>
              <w:right w:val="single" w:sz="4" w:space="0" w:color="auto"/>
            </w:tcBorders>
            <w:vAlign w:val="center"/>
          </w:tcPr>
          <w:p w:rsidR="006D2801" w:rsidRDefault="00C70A09">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主持经营工作。负责信贷、风险合</w:t>
            </w:r>
            <w:proofErr w:type="gramStart"/>
            <w:r>
              <w:rPr>
                <w:rFonts w:ascii="仿宋_GB2312" w:eastAsia="仿宋_GB2312" w:hint="eastAsia"/>
                <w:sz w:val="32"/>
                <w:szCs w:val="32"/>
              </w:rPr>
              <w:t>规</w:t>
            </w:r>
            <w:proofErr w:type="gramEnd"/>
            <w:r>
              <w:rPr>
                <w:rFonts w:ascii="仿宋_GB2312" w:eastAsia="仿宋_GB2312" w:hint="eastAsia"/>
                <w:sz w:val="32"/>
                <w:szCs w:val="32"/>
              </w:rPr>
              <w:t>、业务拓展、电子银行工作；分管信贷管理部、风险合</w:t>
            </w:r>
            <w:proofErr w:type="gramStart"/>
            <w:r>
              <w:rPr>
                <w:rFonts w:ascii="仿宋_GB2312" w:eastAsia="仿宋_GB2312" w:hint="eastAsia"/>
                <w:sz w:val="32"/>
                <w:szCs w:val="32"/>
              </w:rPr>
              <w:t>规</w:t>
            </w:r>
            <w:proofErr w:type="gramEnd"/>
            <w:r>
              <w:rPr>
                <w:rFonts w:ascii="仿宋_GB2312" w:eastAsia="仿宋_GB2312" w:hint="eastAsia"/>
                <w:sz w:val="32"/>
                <w:szCs w:val="32"/>
              </w:rPr>
              <w:t>部、业务拓</w:t>
            </w:r>
            <w:r>
              <w:rPr>
                <w:rFonts w:ascii="仿宋_GB2312" w:eastAsia="仿宋_GB2312" w:hint="eastAsia"/>
                <w:sz w:val="32"/>
                <w:szCs w:val="32"/>
              </w:rPr>
              <w:lastRenderedPageBreak/>
              <w:t>展部；组织履行经营班子职责。</w:t>
            </w:r>
          </w:p>
        </w:tc>
      </w:tr>
      <w:tr w:rsidR="006D2801">
        <w:trPr>
          <w:trHeight w:val="700"/>
          <w:jc w:val="center"/>
        </w:trPr>
        <w:tc>
          <w:tcPr>
            <w:tcW w:w="548"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lastRenderedPageBreak/>
              <w:t>3</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proofErr w:type="gramStart"/>
            <w:r>
              <w:rPr>
                <w:rFonts w:ascii="仿宋_GB2312" w:eastAsia="仿宋_GB2312" w:hAnsi="仿宋" w:cs="宋体" w:hint="eastAsia"/>
                <w:color w:val="000000"/>
                <w:sz w:val="30"/>
                <w:szCs w:val="30"/>
              </w:rPr>
              <w:t>余乐</w:t>
            </w:r>
            <w:proofErr w:type="gramEnd"/>
          </w:p>
        </w:tc>
        <w:tc>
          <w:tcPr>
            <w:tcW w:w="54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男</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监事长</w:t>
            </w:r>
          </w:p>
        </w:tc>
        <w:tc>
          <w:tcPr>
            <w:tcW w:w="120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17</w:t>
            </w:r>
          </w:p>
        </w:tc>
        <w:tc>
          <w:tcPr>
            <w:tcW w:w="3960" w:type="dxa"/>
            <w:tcBorders>
              <w:top w:val="single" w:sz="4" w:space="0" w:color="auto"/>
              <w:left w:val="nil"/>
              <w:bottom w:val="single" w:sz="4" w:space="0" w:color="auto"/>
              <w:right w:val="single" w:sz="4" w:space="0" w:color="auto"/>
            </w:tcBorders>
            <w:vAlign w:val="center"/>
          </w:tcPr>
          <w:p w:rsidR="006D2801" w:rsidRDefault="00C70A09">
            <w:pPr>
              <w:spacing w:line="560" w:lineRule="exact"/>
              <w:ind w:firstLineChars="200" w:firstLine="640"/>
              <w:rPr>
                <w:rFonts w:ascii="仿宋_GB2312" w:eastAsia="仿宋_GB2312"/>
                <w:sz w:val="32"/>
                <w:szCs w:val="32"/>
              </w:rPr>
            </w:pPr>
            <w:r>
              <w:rPr>
                <w:rFonts w:ascii="仿宋_GB2312" w:eastAsia="仿宋_GB2312" w:hint="eastAsia"/>
                <w:sz w:val="32"/>
                <w:szCs w:val="32"/>
              </w:rPr>
              <w:t>主持纪委、工会工作。负责党风行风监督、信访、党务、团委工作；分管审计部、党群工作部、党风行</w:t>
            </w:r>
            <w:proofErr w:type="gramStart"/>
            <w:r>
              <w:rPr>
                <w:rFonts w:ascii="仿宋_GB2312" w:eastAsia="仿宋_GB2312" w:hint="eastAsia"/>
                <w:sz w:val="32"/>
                <w:szCs w:val="32"/>
              </w:rPr>
              <w:t>风监督</w:t>
            </w:r>
            <w:proofErr w:type="gramEnd"/>
            <w:r>
              <w:rPr>
                <w:rFonts w:ascii="仿宋_GB2312" w:eastAsia="仿宋_GB2312" w:hint="eastAsia"/>
                <w:sz w:val="32"/>
                <w:szCs w:val="32"/>
              </w:rPr>
              <w:t>室；组织履行监事会职责。</w:t>
            </w:r>
          </w:p>
        </w:tc>
      </w:tr>
      <w:tr w:rsidR="006D2801">
        <w:trPr>
          <w:trHeight w:val="700"/>
          <w:jc w:val="center"/>
        </w:trPr>
        <w:tc>
          <w:tcPr>
            <w:tcW w:w="548"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4</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proofErr w:type="gramStart"/>
            <w:r>
              <w:rPr>
                <w:rFonts w:ascii="仿宋_GB2312" w:eastAsia="仿宋_GB2312" w:hAnsi="仿宋" w:cs="宋体" w:hint="eastAsia"/>
                <w:color w:val="000000"/>
                <w:sz w:val="30"/>
                <w:szCs w:val="30"/>
              </w:rPr>
              <w:t>张细清</w:t>
            </w:r>
            <w:proofErr w:type="gramEnd"/>
          </w:p>
        </w:tc>
        <w:tc>
          <w:tcPr>
            <w:tcW w:w="548"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男</w:t>
            </w:r>
          </w:p>
        </w:tc>
        <w:tc>
          <w:tcPr>
            <w:tcW w:w="1279"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副行长</w:t>
            </w:r>
          </w:p>
        </w:tc>
        <w:tc>
          <w:tcPr>
            <w:tcW w:w="120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仿宋" w:cs="宋体"/>
                <w:color w:val="000000"/>
                <w:sz w:val="30"/>
                <w:szCs w:val="30"/>
              </w:rPr>
            </w:pPr>
            <w:r>
              <w:rPr>
                <w:rFonts w:ascii="仿宋_GB2312" w:eastAsia="仿宋_GB2312" w:hAnsi="仿宋" w:cs="宋体" w:hint="eastAsia"/>
                <w:color w:val="000000"/>
                <w:sz w:val="30"/>
                <w:szCs w:val="30"/>
              </w:rPr>
              <w:t>12</w:t>
            </w:r>
          </w:p>
        </w:tc>
        <w:tc>
          <w:tcPr>
            <w:tcW w:w="3960" w:type="dxa"/>
            <w:tcBorders>
              <w:top w:val="single" w:sz="4" w:space="0" w:color="auto"/>
              <w:left w:val="nil"/>
              <w:bottom w:val="single" w:sz="4" w:space="0" w:color="auto"/>
              <w:right w:val="single" w:sz="4" w:space="0" w:color="auto"/>
            </w:tcBorders>
            <w:vAlign w:val="center"/>
          </w:tcPr>
          <w:p w:rsidR="006D2801" w:rsidRDefault="00C70A09">
            <w:pPr>
              <w:spacing w:line="560" w:lineRule="exact"/>
              <w:ind w:firstLineChars="200" w:firstLine="640"/>
              <w:rPr>
                <w:rFonts w:ascii="仿宋_GB2312" w:eastAsia="仿宋_GB2312"/>
                <w:sz w:val="32"/>
                <w:szCs w:val="32"/>
              </w:rPr>
            </w:pPr>
            <w:r>
              <w:rPr>
                <w:rFonts w:ascii="仿宋_GB2312" w:eastAsia="仿宋_GB2312" w:hint="eastAsia"/>
                <w:sz w:val="32"/>
                <w:szCs w:val="32"/>
              </w:rPr>
              <w:t>负责普惠金融、财务、运营管理、信息科技、综治保卫、基建、宣传工作；分管普惠金融部、财务运管部、安全保卫部；协助分管人力资源（办公室）工作。</w:t>
            </w:r>
          </w:p>
        </w:tc>
      </w:tr>
    </w:tbl>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3.5网点分布情况</w:t>
      </w:r>
    </w:p>
    <w:p w:rsidR="006D2801" w:rsidRDefault="00C70A09">
      <w:pPr>
        <w:shd w:val="clear" w:color="auto" w:fill="FFFFFF"/>
        <w:spacing w:line="560" w:lineRule="exact"/>
        <w:ind w:firstLine="640"/>
        <w:rPr>
          <w:rFonts w:ascii="宋体" w:hAnsi="宋体" w:cs="宋体"/>
          <w:color w:val="000000"/>
          <w:sz w:val="24"/>
        </w:rPr>
      </w:pPr>
      <w:r>
        <w:rPr>
          <w:rFonts w:ascii="仿宋_GB2312" w:eastAsia="仿宋_GB2312" w:hAnsi="宋体" w:cs="宋体" w:hint="eastAsia"/>
          <w:color w:val="000000"/>
          <w:sz w:val="32"/>
          <w:szCs w:val="32"/>
        </w:rPr>
        <w:t>截至2023年12月31日，</w:t>
      </w:r>
      <w:r w:rsidR="00C16205">
        <w:rPr>
          <w:rFonts w:ascii="仿宋_GB2312" w:eastAsia="仿宋_GB2312" w:hAnsi="宋体" w:cs="宋体" w:hint="eastAsia"/>
          <w:color w:val="000000"/>
          <w:sz w:val="32"/>
          <w:szCs w:val="32"/>
        </w:rPr>
        <w:t>本行</w:t>
      </w:r>
      <w:r>
        <w:rPr>
          <w:rFonts w:ascii="仿宋_GB2312" w:eastAsia="仿宋_GB2312" w:hAnsi="宋体" w:cs="宋体" w:hint="eastAsia"/>
          <w:color w:val="000000"/>
          <w:sz w:val="32"/>
          <w:szCs w:val="32"/>
        </w:rPr>
        <w:t>共设12个营业网点，其中，11个支行，1个营业部。</w:t>
      </w:r>
    </w:p>
    <w:tbl>
      <w:tblPr>
        <w:tblW w:w="0" w:type="auto"/>
        <w:tblInd w:w="250" w:type="dxa"/>
        <w:tblCellMar>
          <w:left w:w="0" w:type="dxa"/>
          <w:right w:w="0" w:type="dxa"/>
        </w:tblCellMar>
        <w:tblLook w:val="04A0"/>
      </w:tblPr>
      <w:tblGrid>
        <w:gridCol w:w="483"/>
        <w:gridCol w:w="4620"/>
        <w:gridCol w:w="3169"/>
      </w:tblGrid>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b/>
                <w:bCs/>
                <w:color w:val="000000"/>
                <w:sz w:val="24"/>
              </w:rPr>
              <w:t>序号</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b/>
                <w:bCs/>
                <w:color w:val="000000"/>
                <w:sz w:val="24"/>
              </w:rPr>
              <w:t>机构名称</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b/>
                <w:bCs/>
                <w:color w:val="000000"/>
                <w:sz w:val="24"/>
              </w:rPr>
              <w:t>营业地址</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1</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铜鼓农村商业银行股份有限公司营业部</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textAlignment w:val="center"/>
              <w:rPr>
                <w:rFonts w:ascii="宋体" w:hAnsi="宋体" w:cs="宋体"/>
                <w:color w:val="000000"/>
                <w:sz w:val="24"/>
              </w:rPr>
            </w:pPr>
            <w:r>
              <w:rPr>
                <w:rFonts w:ascii="宋体" w:hAnsi="宋体" w:cs="宋体" w:hint="eastAsia"/>
                <w:color w:val="000000"/>
                <w:sz w:val="24"/>
              </w:rPr>
              <w:t>铜鼓县城南西路175号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2</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w:t>
            </w:r>
            <w:proofErr w:type="gramStart"/>
            <w:r>
              <w:rPr>
                <w:rFonts w:ascii="宋体" w:hAnsi="宋体" w:cs="宋体" w:hint="eastAsia"/>
                <w:color w:val="000000"/>
                <w:sz w:val="24"/>
              </w:rPr>
              <w:t>股份有限公司排埠支行</w:t>
            </w:r>
            <w:proofErr w:type="gramEnd"/>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w:t>
            </w:r>
            <w:proofErr w:type="gramStart"/>
            <w:r>
              <w:rPr>
                <w:rFonts w:ascii="宋体" w:hAnsi="宋体" w:cs="宋体" w:hint="eastAsia"/>
                <w:color w:val="000000"/>
                <w:sz w:val="24"/>
              </w:rPr>
              <w:t>县排埠镇</w:t>
            </w:r>
            <w:proofErr w:type="gramEnd"/>
            <w:r>
              <w:rPr>
                <w:rFonts w:ascii="宋体" w:hAnsi="宋体" w:cs="宋体" w:hint="eastAsia"/>
                <w:color w:val="000000"/>
                <w:sz w:val="24"/>
              </w:rPr>
              <w:t>集镇</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3</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铜鼓农村商业银行股份有限公司温泉支行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铜鼓县温泉镇集镇</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4</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铜鼓农村商业银行股份有限公司三都支行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铜鼓县三都镇集镇</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5</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铜鼓农村商业银行股份有限公司大塅支行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铜鼓县大段镇明珠路2号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lastRenderedPageBreak/>
              <w:t>6</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w:t>
            </w:r>
            <w:proofErr w:type="gramStart"/>
            <w:r>
              <w:rPr>
                <w:rFonts w:ascii="宋体" w:hAnsi="宋体" w:cs="宋体" w:hint="eastAsia"/>
                <w:color w:val="000000"/>
                <w:sz w:val="24"/>
              </w:rPr>
              <w:t>股份有限公司带溪支行</w:t>
            </w:r>
            <w:proofErr w:type="gramEnd"/>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w:t>
            </w:r>
            <w:proofErr w:type="gramStart"/>
            <w:r>
              <w:rPr>
                <w:rFonts w:ascii="宋体" w:hAnsi="宋体" w:cs="宋体" w:hint="eastAsia"/>
                <w:color w:val="000000"/>
                <w:sz w:val="24"/>
              </w:rPr>
              <w:t>县带溪乡武苏街</w:t>
            </w:r>
            <w:proofErr w:type="gramEnd"/>
            <w:r>
              <w:rPr>
                <w:rFonts w:ascii="宋体" w:hAnsi="宋体" w:cs="宋体" w:hint="eastAsia"/>
                <w:color w:val="000000"/>
                <w:sz w:val="24"/>
              </w:rPr>
              <w:t>88号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7</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铜鼓农村商业银行股份有限公司棋坪支行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proofErr w:type="gramStart"/>
            <w:r>
              <w:rPr>
                <w:rFonts w:ascii="宋体" w:hAnsi="宋体" w:cs="宋体" w:hint="eastAsia"/>
                <w:color w:val="000000"/>
                <w:sz w:val="24"/>
              </w:rPr>
              <w:t>铜鼓县棋坪</w:t>
            </w:r>
            <w:proofErr w:type="gramEnd"/>
            <w:r>
              <w:rPr>
                <w:rFonts w:ascii="宋体" w:hAnsi="宋体" w:cs="宋体" w:hint="eastAsia"/>
                <w:color w:val="000000"/>
                <w:sz w:val="24"/>
              </w:rPr>
              <w:t>镇镇中路59号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8</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铜鼓农村商业银行股份有限公司高桥支行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铜鼓县高桥乡幸福路68号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9</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铜鼓农村商业银行股份有限公司港口支行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铜鼓县港口路8号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10</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铜鼓农村商业银行股份有限公司丰田支行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铜鼓县定</w:t>
            </w:r>
            <w:proofErr w:type="gramStart"/>
            <w:r>
              <w:rPr>
                <w:rFonts w:ascii="宋体" w:hAnsi="宋体" w:cs="宋体" w:hint="eastAsia"/>
                <w:color w:val="000000"/>
                <w:sz w:val="24"/>
              </w:rPr>
              <w:t>江东路</w:t>
            </w:r>
            <w:proofErr w:type="gramEnd"/>
            <w:r>
              <w:rPr>
                <w:rFonts w:ascii="宋体" w:hAnsi="宋体" w:cs="宋体" w:hint="eastAsia"/>
                <w:color w:val="000000"/>
                <w:sz w:val="24"/>
              </w:rPr>
              <w:t>778号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11</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铜鼓农村商业银行股份有限公司城东支行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铜鼓县定</w:t>
            </w:r>
            <w:proofErr w:type="gramStart"/>
            <w:r>
              <w:rPr>
                <w:rFonts w:ascii="宋体" w:hAnsi="宋体" w:cs="宋体" w:hint="eastAsia"/>
                <w:color w:val="000000"/>
                <w:sz w:val="24"/>
              </w:rPr>
              <w:t>江东路</w:t>
            </w:r>
            <w:proofErr w:type="gramEnd"/>
            <w:r>
              <w:rPr>
                <w:rFonts w:ascii="宋体" w:hAnsi="宋体" w:cs="宋体" w:hint="eastAsia"/>
                <w:color w:val="000000"/>
                <w:sz w:val="24"/>
              </w:rPr>
              <w:t>186号</w:t>
            </w:r>
          </w:p>
        </w:tc>
      </w:tr>
      <w:tr w:rsidR="006D2801">
        <w:tc>
          <w:tcPr>
            <w:tcW w:w="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宋体" w:hAnsi="宋体" w:cs="宋体"/>
                <w:color w:val="000000"/>
                <w:sz w:val="24"/>
              </w:rPr>
            </w:pPr>
            <w:r>
              <w:rPr>
                <w:rFonts w:ascii="仿宋_GB2312" w:eastAsia="仿宋_GB2312" w:hAnsi="宋体" w:cs="宋体" w:hint="eastAsia"/>
                <w:color w:val="000000"/>
                <w:sz w:val="24"/>
              </w:rPr>
              <w:t>12</w:t>
            </w:r>
          </w:p>
        </w:tc>
        <w:tc>
          <w:tcPr>
            <w:tcW w:w="4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textAlignment w:val="center"/>
              <w:rPr>
                <w:rFonts w:ascii="宋体" w:hAnsi="宋体" w:cs="宋体"/>
                <w:color w:val="000000"/>
                <w:sz w:val="24"/>
              </w:rPr>
            </w:pPr>
            <w:r>
              <w:rPr>
                <w:rFonts w:ascii="宋体" w:hAnsi="宋体" w:cs="宋体" w:hint="eastAsia"/>
                <w:color w:val="000000"/>
                <w:sz w:val="24"/>
              </w:rPr>
              <w:t>铜鼓农村商业银行股份有限公司永宁支行</w:t>
            </w:r>
          </w:p>
        </w:tc>
        <w:tc>
          <w:tcPr>
            <w:tcW w:w="3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rPr>
                <w:rFonts w:ascii="宋体" w:hAnsi="宋体" w:cs="宋体"/>
                <w:color w:val="000000"/>
                <w:sz w:val="24"/>
              </w:rPr>
            </w:pPr>
            <w:r>
              <w:rPr>
                <w:rFonts w:ascii="宋体" w:hAnsi="宋体" w:cs="宋体" w:hint="eastAsia"/>
                <w:color w:val="000000"/>
                <w:sz w:val="24"/>
              </w:rPr>
              <w:t>铜鼓县城南路330号</w:t>
            </w:r>
          </w:p>
        </w:tc>
      </w:tr>
    </w:tbl>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  </w:t>
      </w:r>
      <w:r>
        <w:rPr>
          <w:rFonts w:ascii="仿宋_GB2312" w:eastAsia="仿宋_GB2312" w:hAnsi="仿宋" w:cs="宋体" w:hint="eastAsia"/>
          <w:bCs/>
          <w:color w:val="000000"/>
          <w:sz w:val="32"/>
          <w:szCs w:val="32"/>
        </w:rPr>
        <w:t>3.6内设机构情况</w:t>
      </w:r>
    </w:p>
    <w:p w:rsidR="006D2801" w:rsidRDefault="00C70A09">
      <w:pPr>
        <w:shd w:val="clear" w:color="auto" w:fill="FFFFFF"/>
        <w:spacing w:line="560" w:lineRule="exact"/>
        <w:rPr>
          <w:rFonts w:ascii="仿宋_GB2312" w:eastAsia="仿宋_GB2312" w:hAnsi="宋体" w:cs="宋体"/>
          <w:bCs/>
          <w:sz w:val="32"/>
          <w:szCs w:val="32"/>
        </w:rPr>
      </w:pPr>
      <w:r>
        <w:rPr>
          <w:rFonts w:ascii="仿宋_GB2312" w:eastAsia="仿宋_GB2312" w:hAnsi="宋体" w:cs="宋体" w:hint="eastAsia"/>
          <w:color w:val="000000"/>
          <w:sz w:val="32"/>
          <w:szCs w:val="32"/>
        </w:rPr>
        <w:t>  </w:t>
      </w:r>
      <w:r>
        <w:rPr>
          <w:rFonts w:ascii="仿宋_GB2312" w:eastAsia="仿宋_GB2312" w:hAnsi="宋体" w:cs="宋体" w:hint="eastAsia"/>
          <w:bCs/>
          <w:sz w:val="32"/>
          <w:szCs w:val="32"/>
        </w:rPr>
        <w:t>本行为股份有限公司形式的商业银行，实行“一级法人、授权经营、统一核算”的经营管理体制，截至2023年末，内设机关部门8个、事业部2个。</w:t>
      </w:r>
    </w:p>
    <w:p w:rsidR="006D2801" w:rsidRDefault="00C70A09">
      <w:pPr>
        <w:shd w:val="clear" w:color="auto" w:fill="FFFFFF"/>
        <w:tabs>
          <w:tab w:val="left" w:pos="630"/>
        </w:tabs>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3.7  员工情况</w:t>
      </w:r>
    </w:p>
    <w:p w:rsidR="006D2801" w:rsidRDefault="00C70A09">
      <w:pPr>
        <w:spacing w:line="560" w:lineRule="exact"/>
        <w:ind w:firstLineChars="200" w:firstLine="640"/>
        <w:rPr>
          <w:rFonts w:ascii="仿宋_GB2312" w:eastAsia="仿宋_GB2312" w:hAnsi="宋体" w:cs="宋体"/>
          <w:bCs/>
          <w:sz w:val="32"/>
          <w:szCs w:val="32"/>
        </w:rPr>
      </w:pPr>
      <w:r>
        <w:rPr>
          <w:rFonts w:ascii="仿宋_GB2312" w:eastAsia="仿宋_GB2312" w:hAnsi="宋体" w:cs="宋体" w:hint="eastAsia"/>
          <w:bCs/>
          <w:sz w:val="32"/>
          <w:szCs w:val="32"/>
        </w:rPr>
        <w:t>2023年末，</w:t>
      </w:r>
      <w:r w:rsidR="00C16205">
        <w:rPr>
          <w:rFonts w:ascii="仿宋_GB2312" w:eastAsia="仿宋_GB2312" w:hAnsi="宋体" w:cs="宋体" w:hint="eastAsia"/>
          <w:bCs/>
          <w:sz w:val="32"/>
          <w:szCs w:val="32"/>
        </w:rPr>
        <w:t>本行</w:t>
      </w:r>
      <w:r>
        <w:rPr>
          <w:rFonts w:ascii="仿宋_GB2312" w:eastAsia="仿宋_GB2312" w:hAnsi="宋体" w:cs="宋体" w:hint="eastAsia"/>
          <w:bCs/>
          <w:sz w:val="32"/>
          <w:szCs w:val="32"/>
        </w:rPr>
        <w:t>在岗员工116人。其中：经济师2人，会计师1人，政工师1人，会计员13人，经济员22人，助理会计师13人，助理经济师3人。</w:t>
      </w:r>
    </w:p>
    <w:p w:rsidR="006D2801" w:rsidRDefault="00C70A09">
      <w:pPr>
        <w:shd w:val="clear" w:color="auto" w:fill="FFFFFF"/>
        <w:spacing w:line="560" w:lineRule="exact"/>
        <w:ind w:firstLineChars="200" w:firstLine="640"/>
        <w:rPr>
          <w:rFonts w:ascii="黑体" w:eastAsia="黑体" w:hAnsi="黑体" w:cs="宋体"/>
          <w:color w:val="000000"/>
          <w:sz w:val="32"/>
          <w:szCs w:val="32"/>
        </w:rPr>
      </w:pPr>
      <w:r>
        <w:rPr>
          <w:rFonts w:ascii="黑体" w:eastAsia="黑体" w:hAnsi="黑体" w:cs="宋体" w:hint="eastAsia"/>
          <w:color w:val="000000"/>
          <w:sz w:val="32"/>
          <w:szCs w:val="32"/>
        </w:rPr>
        <w:t>四、公司治理结构</w:t>
      </w:r>
    </w:p>
    <w:p w:rsidR="006D2801" w:rsidRDefault="00C70A09">
      <w:pPr>
        <w:shd w:val="clear" w:color="auto" w:fill="FFFFFF"/>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4.1公司治理概述</w:t>
      </w:r>
    </w:p>
    <w:p w:rsidR="006D2801" w:rsidRDefault="00C70A09">
      <w:pPr>
        <w:shd w:val="clear" w:color="auto" w:fill="FFFFFF"/>
        <w:spacing w:line="560" w:lineRule="exact"/>
        <w:ind w:firstLineChars="200" w:firstLine="640"/>
        <w:rPr>
          <w:rFonts w:ascii="宋体" w:hAnsi="宋体" w:cs="宋体"/>
          <w:color w:val="000000"/>
          <w:sz w:val="24"/>
        </w:rPr>
      </w:pPr>
      <w:r>
        <w:rPr>
          <w:rFonts w:ascii="仿宋_GB2312" w:eastAsia="仿宋_GB2312" w:hAnsi="宋体" w:cs="宋体" w:hint="eastAsia"/>
          <w:color w:val="000000"/>
          <w:sz w:val="32"/>
          <w:szCs w:val="32"/>
        </w:rPr>
        <w:t>为不断完善公司治理，促进本行稳健经营，保护存款人和股东合法权益，本行根据《公司法》、《商业银行法》、《农村商业银行管理暂行规定》等有关法律法规的要求，建立了以股东大会、董事会、监事会、高级管理层等机构为主体的组织架构。</w:t>
      </w:r>
    </w:p>
    <w:p w:rsidR="006D2801" w:rsidRDefault="00C70A09">
      <w:pPr>
        <w:shd w:val="clear" w:color="auto" w:fill="FFFFFF"/>
        <w:spacing w:line="560" w:lineRule="exact"/>
        <w:rPr>
          <w:rFonts w:ascii="宋体" w:hAnsi="宋体" w:cs="宋体"/>
          <w:color w:val="000000"/>
          <w:sz w:val="24"/>
        </w:rPr>
      </w:pPr>
      <w:r>
        <w:rPr>
          <w:rFonts w:ascii="仿宋_GB2312" w:eastAsia="仿宋_GB2312" w:hAnsi="宋体" w:cs="宋体" w:hint="eastAsia"/>
          <w:color w:val="000000"/>
          <w:sz w:val="32"/>
          <w:szCs w:val="32"/>
        </w:rPr>
        <w:t xml:space="preserve">　　股东大会是本行权力机构，董事会是本行决策机构，承担本行经营和管理的最终责任；监事会是本行监督机构，在职权范围内独立行使监督权，保障股东权益、本行利益和职工的合</w:t>
      </w:r>
      <w:r>
        <w:rPr>
          <w:rFonts w:ascii="仿宋_GB2312" w:eastAsia="仿宋_GB2312" w:hAnsi="宋体" w:cs="宋体" w:hint="eastAsia"/>
          <w:color w:val="000000"/>
          <w:sz w:val="32"/>
          <w:szCs w:val="32"/>
        </w:rPr>
        <w:lastRenderedPageBreak/>
        <w:t>法权益不受侵犯，依据有关法律法规、《章程》享有知情权、质询权、建议权等各项权利；高级管理</w:t>
      </w:r>
      <w:proofErr w:type="gramStart"/>
      <w:r>
        <w:rPr>
          <w:rFonts w:ascii="仿宋_GB2312" w:eastAsia="仿宋_GB2312" w:hAnsi="宋体" w:cs="宋体" w:hint="eastAsia"/>
          <w:color w:val="000000"/>
          <w:sz w:val="32"/>
          <w:szCs w:val="32"/>
        </w:rPr>
        <w:t>层接受</w:t>
      </w:r>
      <w:proofErr w:type="gramEnd"/>
      <w:r>
        <w:rPr>
          <w:rFonts w:ascii="仿宋_GB2312" w:eastAsia="仿宋_GB2312" w:hAnsi="宋体" w:cs="宋体" w:hint="eastAsia"/>
          <w:color w:val="000000"/>
          <w:sz w:val="32"/>
          <w:szCs w:val="32"/>
        </w:rPr>
        <w:t>董事会领导和监事会监督，依法组织开展各项经营管理活动。以董事会为中心的决策系统、高级管理层为中心的执行系统和以监事会为重心的监督系统，形成职责明晰、相互约束的制衡机制。</w:t>
      </w:r>
    </w:p>
    <w:p w:rsidR="006D2801" w:rsidRDefault="00C70A09">
      <w:pPr>
        <w:shd w:val="clear" w:color="auto" w:fill="FFFFFF"/>
        <w:spacing w:line="560" w:lineRule="exact"/>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4.2 股东和股东大会</w:t>
      </w:r>
    </w:p>
    <w:p w:rsidR="006D2801" w:rsidRDefault="00C70A09">
      <w:pPr>
        <w:spacing w:line="60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股东大会是本行的最高权力机构，由全体股东组成。本行制定了《股东大会议事规则》，严格按照《公司法》、《章程》及有关法规召集、召开股东大会，实行律师见证制度，保证了股东依法行使权力。2023年6月29日，召开了铜鼓农村商业银行2022年度股东大会，会议实到股东代表47人，所持股份投票权股权71，833，926万股，占本行股份总额的61.60%。符合《铜鼓农村商业银行股份有限公司章程》规定，会议审议通过了《铜鼓农商银行2022年度董事会工作报告》、《铜鼓农商银行2022年度监事会工作报告》、《铜鼓农商银行2022年度信息披露报告》、《铜鼓农商银行2023年度业务经营计划》《铜鼓农商银行2022年度财务决算和2023年度财务预算方案》、《铜鼓农商银行2022年度股金红利分配方案》、《铜鼓农商银行2022年度利润分配方案》、《铜鼓农商银行董、监事、高级管理人员2022年履职评价报告》等10项决议。</w:t>
      </w:r>
    </w:p>
    <w:p w:rsidR="006D2801" w:rsidRDefault="00C70A09">
      <w:pPr>
        <w:shd w:val="clear" w:color="auto" w:fill="FFFFFF"/>
        <w:spacing w:line="560" w:lineRule="exact"/>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4.3 董事和董事会</w:t>
      </w:r>
    </w:p>
    <w:p w:rsidR="006D2801" w:rsidRDefault="00C70A09">
      <w:pPr>
        <w:shd w:val="clear" w:color="auto" w:fill="FFFFFF"/>
        <w:spacing w:line="560" w:lineRule="exact"/>
        <w:ind w:firstLine="314"/>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4.31董事责任</w:t>
      </w:r>
    </w:p>
    <w:p w:rsidR="006D2801" w:rsidRDefault="00C70A09">
      <w:pPr>
        <w:shd w:val="clear" w:color="auto" w:fill="FFFFFF"/>
        <w:spacing w:line="560" w:lineRule="exact"/>
        <w:ind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本行董事会由9名董事组成，设董事会秘书1名。其中，</w:t>
      </w:r>
      <w:r>
        <w:rPr>
          <w:rFonts w:ascii="仿宋_GB2312" w:eastAsia="仿宋_GB2312" w:hAnsi="宋体" w:cs="宋体" w:hint="eastAsia"/>
          <w:color w:val="000000"/>
          <w:sz w:val="32"/>
          <w:szCs w:val="32"/>
        </w:rPr>
        <w:lastRenderedPageBreak/>
        <w:t>3名内部董事，6名外部董事（</w:t>
      </w:r>
      <w:proofErr w:type="gramStart"/>
      <w:r>
        <w:rPr>
          <w:rFonts w:ascii="仿宋_GB2312" w:eastAsia="仿宋_GB2312" w:hAnsi="宋体" w:cs="宋体" w:hint="eastAsia"/>
          <w:color w:val="000000"/>
          <w:sz w:val="32"/>
          <w:szCs w:val="32"/>
        </w:rPr>
        <w:t>含独立</w:t>
      </w:r>
      <w:proofErr w:type="gramEnd"/>
      <w:r>
        <w:rPr>
          <w:rFonts w:ascii="仿宋_GB2312" w:eastAsia="仿宋_GB2312" w:hAnsi="宋体" w:cs="宋体" w:hint="eastAsia"/>
          <w:color w:val="000000"/>
          <w:sz w:val="32"/>
          <w:szCs w:val="32"/>
        </w:rPr>
        <w:t>董事3名）。董事会下设战略委员会、审计委员会、风险管理和关联交易委员会、提名和薪酬委员会、“三农”委员会、消费者权益保护委员会、信息科技管理委员会。8个专门委员会各尽职责，规范运作，为董事会决策提供了有效支持。2023年，为切实发挥董事会核心战略决策作用，本行共召开董事会4次。董事会在正确把握国内外经济金融形势的新变化、新特点及疫情防控带来的影响，及时调整经营发展方式，促进质量与规模、效益与效率的协调增长，推动本行经营方式与发展模式的转变。各位董事忠诚、勤勉，按照《公司法》及相关法律、法规、规章以及本行章程的要求，专业、高效地履行职责，维护本行、股东利益，及时了解本行业务经营管理状况，体现了良好的勤勉义务。</w:t>
      </w:r>
    </w:p>
    <w:p w:rsidR="006D2801" w:rsidRDefault="00C70A09">
      <w:pPr>
        <w:shd w:val="clear" w:color="auto" w:fill="FFFFFF"/>
        <w:spacing w:line="560" w:lineRule="exact"/>
        <w:rPr>
          <w:rFonts w:ascii="仿宋_GB2312" w:eastAsia="仿宋_GB2312" w:hAnsi="宋体" w:cs="宋体"/>
          <w:color w:val="000000"/>
          <w:sz w:val="32"/>
          <w:szCs w:val="32"/>
        </w:rPr>
      </w:pPr>
      <w:r>
        <w:rPr>
          <w:rFonts w:ascii="仿宋_GB2312" w:eastAsia="仿宋_GB2312" w:hAnsi="宋体" w:cs="宋体" w:hint="eastAsia"/>
          <w:color w:val="000000"/>
          <w:sz w:val="32"/>
          <w:szCs w:val="32"/>
        </w:rPr>
        <w:t xml:space="preserve">　　4.32董事会会议情况及决议内容</w:t>
      </w:r>
    </w:p>
    <w:p w:rsidR="006D2801" w:rsidRDefault="00C70A09">
      <w:pPr>
        <w:spacing w:line="560" w:lineRule="exact"/>
        <w:ind w:firstLine="600"/>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2023年，铜鼓农商银行董事会共召开了4次董事会会议。其中，2023年2月1日，召开了第二届董事会第十四次会议，全体董事审议通过</w:t>
      </w:r>
      <w:r>
        <w:rPr>
          <w:rFonts w:ascii="仿宋_GB2312" w:eastAsia="仿宋_GB2312" w:hAnsi="Calibri" w:hint="eastAsia"/>
          <w:sz w:val="30"/>
          <w:szCs w:val="30"/>
        </w:rPr>
        <w:t>关于</w:t>
      </w:r>
      <w:r>
        <w:rPr>
          <w:rFonts w:ascii="仿宋_GB2312" w:eastAsia="仿宋_GB2312" w:hAnsi="宋体" w:cs="宋体" w:hint="eastAsia"/>
          <w:color w:val="000000"/>
          <w:sz w:val="32"/>
          <w:szCs w:val="32"/>
        </w:rPr>
        <w:t>调整董事会各专业委员会组成人员议案，审议通过了铜鼓农商银行2022年度股东评估报告和铜鼓农商银行互联网贷款风险模型评估报告等24项议案； 2023年6月14日，召开了第二届董事会第十五次会议，会议审议通过了《铜鼓农商银行2022年度董事会工作报告》、《铜鼓农商银行2022年度监事会工作报告》等21项议案。2023年9月19日，召开了第二届董事会第十六次会议，组织全体董、监事学习了宜春银保</w:t>
      </w:r>
      <w:proofErr w:type="gramStart"/>
      <w:r>
        <w:rPr>
          <w:rFonts w:ascii="仿宋_GB2312" w:eastAsia="仿宋_GB2312" w:hAnsi="宋体" w:cs="宋体" w:hint="eastAsia"/>
          <w:color w:val="000000"/>
          <w:sz w:val="32"/>
          <w:szCs w:val="32"/>
        </w:rPr>
        <w:t>监分局</w:t>
      </w:r>
      <w:proofErr w:type="gramEnd"/>
      <w:r>
        <w:rPr>
          <w:rFonts w:ascii="仿宋_GB2312" w:eastAsia="仿宋_GB2312" w:hAnsi="宋体" w:cs="宋体" w:hint="eastAsia"/>
          <w:color w:val="000000"/>
          <w:sz w:val="32"/>
          <w:szCs w:val="32"/>
        </w:rPr>
        <w:t>下发的《监管意见书》等法律法规文件，审议通过了关于聘任张细清同志为铜鼓农商银行副行长，关于铜鼓农商</w:t>
      </w:r>
      <w:r>
        <w:rPr>
          <w:rFonts w:ascii="仿宋_GB2312" w:eastAsia="仿宋_GB2312" w:hAnsi="宋体" w:cs="宋体" w:hint="eastAsia"/>
          <w:color w:val="000000"/>
          <w:sz w:val="32"/>
          <w:szCs w:val="32"/>
        </w:rPr>
        <w:lastRenderedPageBreak/>
        <w:t>银行2023年压力测试报告，关于江正旺等4笔拟核销贷款呆账认定的审查意见书等6项议案；2023年12月20日，召开了第二届董事会第十七次会议，组织全体董事学习了全省农商银行客户洗钱和恐怖融资风险分类管理工作办法（试行）和省联社风险合</w:t>
      </w:r>
      <w:proofErr w:type="gramStart"/>
      <w:r>
        <w:rPr>
          <w:rFonts w:ascii="仿宋_GB2312" w:eastAsia="仿宋_GB2312" w:hAnsi="宋体" w:cs="宋体" w:hint="eastAsia"/>
          <w:color w:val="000000"/>
          <w:sz w:val="32"/>
          <w:szCs w:val="32"/>
        </w:rPr>
        <w:t>规</w:t>
      </w:r>
      <w:proofErr w:type="gramEnd"/>
      <w:r>
        <w:rPr>
          <w:rFonts w:ascii="仿宋_GB2312" w:eastAsia="仿宋_GB2312" w:hAnsi="宋体" w:cs="宋体" w:hint="eastAsia"/>
          <w:color w:val="000000"/>
          <w:sz w:val="32"/>
          <w:szCs w:val="32"/>
        </w:rPr>
        <w:t>部下发的案情通报。</w:t>
      </w:r>
    </w:p>
    <w:p w:rsidR="006D2801" w:rsidRDefault="00C70A09">
      <w:pPr>
        <w:shd w:val="clear" w:color="auto" w:fill="FFFFFF"/>
        <w:spacing w:line="560" w:lineRule="exact"/>
        <w:ind w:firstLine="624"/>
        <w:rPr>
          <w:rFonts w:ascii="仿宋_GB2312" w:eastAsia="仿宋_GB2312" w:hAnsi="宋体" w:cs="宋体"/>
          <w:color w:val="000000"/>
          <w:sz w:val="32"/>
          <w:szCs w:val="32"/>
        </w:rPr>
      </w:pPr>
      <w:r>
        <w:rPr>
          <w:rFonts w:ascii="仿宋_GB2312" w:eastAsia="仿宋_GB2312" w:hAnsi="宋体" w:cs="宋体" w:hint="eastAsia"/>
          <w:color w:val="000000"/>
          <w:sz w:val="32"/>
          <w:szCs w:val="32"/>
        </w:rPr>
        <w:t>4.33独立董事工作情况</w:t>
      </w:r>
    </w:p>
    <w:p w:rsidR="006D2801" w:rsidRDefault="00C70A09">
      <w:pPr>
        <w:shd w:val="clear" w:color="auto" w:fill="FFFFFF"/>
        <w:spacing w:line="560" w:lineRule="exact"/>
        <w:ind w:firstLine="624"/>
        <w:rPr>
          <w:rFonts w:ascii="仿宋_GB2312" w:eastAsia="仿宋_GB2312" w:hAnsi="宋体" w:cs="宋体"/>
          <w:color w:val="000000"/>
          <w:sz w:val="32"/>
          <w:szCs w:val="32"/>
        </w:rPr>
      </w:pPr>
      <w:r>
        <w:rPr>
          <w:rFonts w:ascii="仿宋_GB2312" w:eastAsia="仿宋_GB2312" w:hAnsi="宋体" w:cs="宋体" w:hint="eastAsia"/>
          <w:color w:val="000000"/>
          <w:sz w:val="32"/>
          <w:szCs w:val="32"/>
        </w:rPr>
        <w:t>按照独立董事制度及《公司章程》的规定和要求，独立董事在2023年度工作中勤勉尽责，积极出席相关会议，认真审议董事会各项议案，对重大事项发表了独立意见，积极发挥独立董事作用，努力维护公司整体利益及全体股东合法权益，2023年共参加4次董事会和1次股东大会会议，全年履职20个工作日以上，董、监事会对独立董事进行了履职评价，2023年独立董事履职评价为称职。</w:t>
      </w:r>
    </w:p>
    <w:p w:rsidR="006D2801" w:rsidRDefault="00C70A09">
      <w:pPr>
        <w:shd w:val="clear" w:color="auto" w:fill="FFFFFF"/>
        <w:spacing w:line="560" w:lineRule="exact"/>
        <w:ind w:firstLine="645"/>
        <w:rPr>
          <w:rFonts w:ascii="仿宋_GB2312" w:eastAsia="仿宋_GB2312" w:hAnsi="宋体" w:cs="宋体"/>
          <w:spacing w:val="-2"/>
          <w:sz w:val="32"/>
          <w:szCs w:val="32"/>
        </w:rPr>
      </w:pPr>
      <w:r>
        <w:rPr>
          <w:rFonts w:ascii="仿宋_GB2312" w:eastAsia="仿宋_GB2312" w:hAnsi="宋体" w:cs="宋体" w:hint="eastAsia"/>
          <w:spacing w:val="-2"/>
          <w:sz w:val="32"/>
          <w:szCs w:val="32"/>
        </w:rPr>
        <w:t>4.4监事会会议情况</w:t>
      </w:r>
    </w:p>
    <w:p w:rsidR="006D2801" w:rsidRDefault="00C70A09">
      <w:pPr>
        <w:pStyle w:val="a5"/>
        <w:widowControl w:val="0"/>
        <w:spacing w:before="0" w:beforeAutospacing="0" w:after="0" w:afterAutospacing="0" w:line="560" w:lineRule="exact"/>
        <w:ind w:firstLine="645"/>
        <w:jc w:val="both"/>
        <w:rPr>
          <w:rFonts w:ascii="仿宋_GB2312" w:eastAsia="仿宋_GB2312"/>
          <w:spacing w:val="-2"/>
          <w:sz w:val="32"/>
          <w:szCs w:val="32"/>
        </w:rPr>
      </w:pPr>
      <w:r>
        <w:rPr>
          <w:rFonts w:ascii="仿宋_GB2312" w:eastAsia="仿宋_GB2312" w:hAnsi="微软雅黑" w:hint="eastAsia"/>
          <w:sz w:val="32"/>
          <w:szCs w:val="32"/>
        </w:rPr>
        <w:t xml:space="preserve">4.41 </w:t>
      </w:r>
      <w:r>
        <w:rPr>
          <w:rFonts w:ascii="仿宋_GB2312" w:eastAsia="仿宋_GB2312" w:hint="eastAsia"/>
          <w:spacing w:val="-2"/>
          <w:sz w:val="32"/>
          <w:szCs w:val="32"/>
        </w:rPr>
        <w:t>2023年度，本行监事会共召开了5次会议。</w:t>
      </w:r>
    </w:p>
    <w:p w:rsidR="006D2801" w:rsidRDefault="00C70A09">
      <w:pPr>
        <w:spacing w:line="560" w:lineRule="exact"/>
        <w:ind w:firstLine="645"/>
        <w:rPr>
          <w:rFonts w:ascii="仿宋_GB2312" w:eastAsia="仿宋_GB2312" w:hAnsi="微软雅黑"/>
          <w:sz w:val="32"/>
          <w:szCs w:val="32"/>
        </w:rPr>
      </w:pPr>
      <w:r>
        <w:rPr>
          <w:rFonts w:ascii="仿宋_GB2312" w:eastAsia="仿宋_GB2312" w:hAnsi="仿宋" w:hint="eastAsia"/>
          <w:sz w:val="32"/>
          <w:szCs w:val="32"/>
        </w:rPr>
        <w:t>2023年2月1日召开第二届监事会第十八次会议</w:t>
      </w:r>
      <w:r>
        <w:rPr>
          <w:rFonts w:ascii="仿宋_GB2312" w:eastAsia="仿宋_GB2312" w:hAnsi="微软雅黑" w:hint="eastAsia"/>
          <w:sz w:val="32"/>
          <w:szCs w:val="32"/>
        </w:rPr>
        <w:t>，会议主要内容为：一是列席第二届董事会第十四次会议，对董事会工作进行监督；二是通报本行2022年度业务经营情况；三是审议《铜鼓农商银行互联网贷款风险模型评估报告》《铜鼓农商银行2022年度风险分析报告》《铜鼓农商银行2022年度操作风险评估报告》《铜鼓农商银行董事监事履职评价办法》等8个议案</w:t>
      </w:r>
      <w:r>
        <w:rPr>
          <w:rFonts w:ascii="仿宋_GB2312" w:eastAsia="仿宋_GB2312" w:hAnsi="仿宋" w:hint="eastAsia"/>
          <w:sz w:val="32"/>
          <w:szCs w:val="32"/>
        </w:rPr>
        <w:t>。2023年4月21日召开第二届监事会第十九次会议</w:t>
      </w:r>
      <w:r>
        <w:rPr>
          <w:rFonts w:ascii="仿宋_GB2312" w:eastAsia="仿宋_GB2312" w:hAnsi="微软雅黑" w:hint="eastAsia"/>
          <w:sz w:val="32"/>
          <w:szCs w:val="32"/>
        </w:rPr>
        <w:t>，会议主要内容为：一是听取铜鼓农商银行2023年一季度业务经营情况报告；二是审议《铜鼓农商银行2022年度董事、监</w:t>
      </w:r>
      <w:r>
        <w:rPr>
          <w:rFonts w:ascii="仿宋_GB2312" w:eastAsia="仿宋_GB2312" w:hAnsi="微软雅黑" w:hint="eastAsia"/>
          <w:sz w:val="32"/>
          <w:szCs w:val="32"/>
        </w:rPr>
        <w:lastRenderedPageBreak/>
        <w:t>事、高级管理层履职评价情况报告》。2023年6月14日召开第二届监事会第二十次会议，会议主要内容为：一是进行反洗钱、反恐怖融资业务培训；二是审议《铜鼓农商银行2022年度监事会工作报告》《铜鼓农商银行监事会议事规则（修订）》《铜鼓农商银行2022年利润分配方案》《铜鼓农商银行战略转型五年规划（2020-2024年）中期评估报告》《铜鼓农商银行2022年关联交易专项审计报告》。2023年9月19日</w:t>
      </w:r>
      <w:r>
        <w:rPr>
          <w:rFonts w:ascii="仿宋_GB2312" w:eastAsia="仿宋_GB2312" w:hAnsi="仿宋" w:hint="eastAsia"/>
          <w:sz w:val="32"/>
          <w:szCs w:val="32"/>
        </w:rPr>
        <w:t>召开第二届监事会第二十一次会议</w:t>
      </w:r>
      <w:r>
        <w:rPr>
          <w:rFonts w:ascii="仿宋_GB2312" w:eastAsia="仿宋_GB2312" w:hAnsi="微软雅黑" w:hint="eastAsia"/>
          <w:sz w:val="32"/>
          <w:szCs w:val="32"/>
        </w:rPr>
        <w:t>，会议主要内容为：一是列席第二届董事会第十六次会议；二是通报国家金融监督管理总局宜春监管分局监管意见书和现场检查发现问题整改和问责情况；三是听取职工生活区、生活设施巡检和整改落实情况汇报。2023年12月20日</w:t>
      </w:r>
      <w:r>
        <w:rPr>
          <w:rFonts w:ascii="仿宋_GB2312" w:eastAsia="仿宋_GB2312" w:hAnsi="仿宋" w:hint="eastAsia"/>
          <w:sz w:val="32"/>
          <w:szCs w:val="32"/>
        </w:rPr>
        <w:t>召开第二届监事会第二十二次会议</w:t>
      </w:r>
      <w:r>
        <w:rPr>
          <w:rFonts w:ascii="仿宋_GB2312" w:eastAsia="仿宋_GB2312" w:hAnsi="微软雅黑" w:hint="eastAsia"/>
          <w:sz w:val="32"/>
          <w:szCs w:val="32"/>
        </w:rPr>
        <w:t>，会议主要内容为：一是列席第二届董事会第十七次会议；二是传达国家金融监督管理总局宜春监管分局关于全市银行业保险业服务乡村振兴工作、小</w:t>
      </w:r>
      <w:proofErr w:type="gramStart"/>
      <w:r>
        <w:rPr>
          <w:rFonts w:ascii="仿宋_GB2312" w:eastAsia="仿宋_GB2312" w:hAnsi="微软雅黑" w:hint="eastAsia"/>
          <w:sz w:val="32"/>
          <w:szCs w:val="32"/>
        </w:rPr>
        <w:t>微企业</w:t>
      </w:r>
      <w:proofErr w:type="gramEnd"/>
      <w:r>
        <w:rPr>
          <w:rFonts w:ascii="仿宋_GB2312" w:eastAsia="仿宋_GB2312" w:hAnsi="微软雅黑" w:hint="eastAsia"/>
          <w:sz w:val="32"/>
          <w:szCs w:val="32"/>
        </w:rPr>
        <w:t>贷款情况的通报等；三是听取监事意见建议。</w:t>
      </w:r>
    </w:p>
    <w:p w:rsidR="006D2801" w:rsidRDefault="00C70A09">
      <w:pPr>
        <w:shd w:val="clear" w:color="auto" w:fill="FFFFFF"/>
        <w:spacing w:line="560" w:lineRule="exact"/>
        <w:ind w:firstLine="645"/>
        <w:rPr>
          <w:rFonts w:ascii="仿宋_GB2312" w:eastAsia="仿宋_GB2312" w:hAnsi="宋体" w:cs="宋体"/>
          <w:spacing w:val="-2"/>
          <w:sz w:val="32"/>
          <w:szCs w:val="32"/>
        </w:rPr>
      </w:pPr>
      <w:r>
        <w:rPr>
          <w:rFonts w:ascii="仿宋_GB2312" w:eastAsia="仿宋_GB2312" w:hAnsi="宋体" w:cs="宋体" w:hint="eastAsia"/>
          <w:spacing w:val="-2"/>
          <w:sz w:val="32"/>
          <w:szCs w:val="32"/>
        </w:rPr>
        <w:t>4.5外部监事工作情况。本行外部监事为陈超、曾海琦等2人。</w:t>
      </w:r>
    </w:p>
    <w:p w:rsidR="006D2801" w:rsidRDefault="00C70A09">
      <w:pPr>
        <w:shd w:val="clear" w:color="auto" w:fill="FFFFFF"/>
        <w:spacing w:line="560" w:lineRule="exact"/>
        <w:ind w:firstLine="640"/>
        <w:rPr>
          <w:rFonts w:ascii="仿宋_GB2312" w:eastAsia="仿宋_GB2312" w:hAnsi="宋体" w:cs="宋体"/>
          <w:spacing w:val="-2"/>
          <w:sz w:val="32"/>
          <w:szCs w:val="32"/>
        </w:rPr>
      </w:pPr>
      <w:r>
        <w:rPr>
          <w:rFonts w:ascii="仿宋_GB2312" w:eastAsia="仿宋_GB2312" w:hAnsi="宋体" w:cs="宋体" w:hint="eastAsia"/>
          <w:spacing w:val="-2"/>
          <w:sz w:val="32"/>
          <w:szCs w:val="32"/>
        </w:rPr>
        <w:t>4.51.切实履行监事工作职责。按照公司《章程》的要求，外部监事参加了2023年每次监事会并列席了农商行董事会会议，监督会议工作的落实情况。</w:t>
      </w:r>
    </w:p>
    <w:p w:rsidR="006D2801" w:rsidRDefault="00C70A09">
      <w:pPr>
        <w:shd w:val="clear" w:color="auto" w:fill="FFFFFF"/>
        <w:spacing w:line="560" w:lineRule="exact"/>
        <w:ind w:firstLine="640"/>
        <w:rPr>
          <w:rFonts w:ascii="仿宋_GB2312" w:eastAsia="仿宋_GB2312" w:hAnsi="宋体" w:cs="宋体"/>
          <w:spacing w:val="-2"/>
          <w:sz w:val="32"/>
          <w:szCs w:val="32"/>
        </w:rPr>
      </w:pPr>
      <w:r>
        <w:rPr>
          <w:rFonts w:ascii="仿宋_GB2312" w:eastAsia="仿宋_GB2312" w:hAnsi="宋体" w:cs="宋体" w:hint="eastAsia"/>
          <w:spacing w:val="-2"/>
          <w:sz w:val="32"/>
          <w:szCs w:val="32"/>
        </w:rPr>
        <w:t>4.52.积极协调内部机构关系。坚持“分工不分家，监督</w:t>
      </w:r>
      <w:proofErr w:type="gramStart"/>
      <w:r>
        <w:rPr>
          <w:rFonts w:ascii="仿宋_GB2312" w:eastAsia="仿宋_GB2312" w:hAnsi="宋体" w:cs="宋体" w:hint="eastAsia"/>
          <w:spacing w:val="-2"/>
          <w:sz w:val="32"/>
          <w:szCs w:val="32"/>
        </w:rPr>
        <w:t>不</w:t>
      </w:r>
      <w:proofErr w:type="gramEnd"/>
      <w:r>
        <w:rPr>
          <w:rFonts w:ascii="仿宋_GB2312" w:eastAsia="仿宋_GB2312" w:hAnsi="宋体" w:cs="宋体" w:hint="eastAsia"/>
          <w:spacing w:val="-2"/>
          <w:sz w:val="32"/>
          <w:szCs w:val="32"/>
        </w:rPr>
        <w:t>旁观，参与不干预，互补不拆台”的工作原则，自觉维护董事、监事之间的团结。主动支持配合董事会工作，积极参加理事组织的活动。通过参与活动，使监督的力度得到加强，监督范围</w:t>
      </w:r>
      <w:r>
        <w:rPr>
          <w:rFonts w:ascii="仿宋_GB2312" w:eastAsia="仿宋_GB2312" w:hAnsi="宋体" w:cs="宋体" w:hint="eastAsia"/>
          <w:spacing w:val="-2"/>
          <w:sz w:val="32"/>
          <w:szCs w:val="32"/>
        </w:rPr>
        <w:lastRenderedPageBreak/>
        <w:t>更加广泛，有力促进了董事会工作的开展。</w:t>
      </w:r>
    </w:p>
    <w:p w:rsidR="006D2801" w:rsidRDefault="00C70A09">
      <w:pPr>
        <w:shd w:val="clear" w:color="auto" w:fill="FFFFFF"/>
        <w:spacing w:line="560" w:lineRule="exact"/>
        <w:ind w:firstLine="640"/>
        <w:rPr>
          <w:rFonts w:ascii="仿宋_GB2312" w:eastAsia="仿宋_GB2312" w:hAnsi="宋体" w:cs="宋体"/>
          <w:spacing w:val="-2"/>
          <w:sz w:val="32"/>
          <w:szCs w:val="32"/>
        </w:rPr>
      </w:pPr>
      <w:r>
        <w:rPr>
          <w:rFonts w:ascii="仿宋_GB2312" w:eastAsia="仿宋_GB2312" w:hAnsi="宋体" w:cs="宋体" w:hint="eastAsia"/>
          <w:spacing w:val="-2"/>
          <w:sz w:val="32"/>
          <w:szCs w:val="32"/>
        </w:rPr>
        <w:t>4.53.为农商行发展建言献策。外部监事积极支持与配合高级管理层的经营活动，在召开监事会期间，多次对本行经营管理存在的问题提出改良优化建议，促进本行可持续高效发展。</w:t>
      </w:r>
    </w:p>
    <w:p w:rsidR="006D2801" w:rsidRDefault="00C70A09">
      <w:pPr>
        <w:shd w:val="clear" w:color="auto" w:fill="FFFFFF"/>
        <w:spacing w:line="560" w:lineRule="exact"/>
        <w:ind w:firstLineChars="200" w:firstLine="632"/>
        <w:rPr>
          <w:rFonts w:ascii="仿宋_GB2312" w:eastAsia="仿宋_GB2312" w:hAnsi="宋体" w:cs="宋体"/>
          <w:spacing w:val="-2"/>
          <w:sz w:val="32"/>
          <w:szCs w:val="32"/>
        </w:rPr>
      </w:pPr>
      <w:r>
        <w:rPr>
          <w:rFonts w:ascii="仿宋_GB2312" w:eastAsia="仿宋_GB2312" w:hAnsi="宋体" w:cs="宋体" w:hint="eastAsia"/>
          <w:spacing w:val="-2"/>
          <w:sz w:val="32"/>
          <w:szCs w:val="32"/>
        </w:rPr>
        <w:t>4.6高级管理层</w:t>
      </w:r>
    </w:p>
    <w:p w:rsidR="006D2801" w:rsidRDefault="00C70A09">
      <w:pPr>
        <w:shd w:val="clear" w:color="auto" w:fill="FFFFFF"/>
        <w:spacing w:line="560" w:lineRule="exact"/>
        <w:ind w:firstLine="640"/>
        <w:rPr>
          <w:rFonts w:ascii="仿宋_GB2312" w:eastAsia="仿宋_GB2312" w:hAnsi="宋体" w:cs="宋体"/>
          <w:spacing w:val="-2"/>
          <w:sz w:val="32"/>
          <w:szCs w:val="32"/>
        </w:rPr>
      </w:pPr>
      <w:r>
        <w:rPr>
          <w:rFonts w:ascii="仿宋_GB2312" w:eastAsia="仿宋_GB2312" w:hAnsi="宋体" w:cs="宋体" w:hint="eastAsia"/>
          <w:spacing w:val="-2"/>
          <w:sz w:val="32"/>
          <w:szCs w:val="32"/>
        </w:rPr>
        <w:t>本行高级管理层由一名行长、一名副行长组成。高级管理层严格执行股东大会、董事会决议，认真执行年度预算，完成年度经营目标。行长依照法律法规、本行章程及董事会授权，主持本行的经营管理工作，组织实施董事会决议，并向董事会报告工作；组织实施本行年度经营计划和投资方案；提请董事会聘任或者解聘本行其他高级管理层成员及内审部门负责人；决定聘任或者解聘除应由董事会决定聘任或者解聘以外的本行内部各职能部门及分支机构负责人等。</w:t>
      </w:r>
    </w:p>
    <w:p w:rsidR="006D2801" w:rsidRDefault="00C70A09">
      <w:pPr>
        <w:shd w:val="clear" w:color="auto" w:fill="FFFFFF"/>
        <w:spacing w:line="560" w:lineRule="exact"/>
        <w:ind w:firstLineChars="200" w:firstLine="632"/>
        <w:rPr>
          <w:rFonts w:ascii="黑体" w:eastAsia="黑体" w:hAnsi="黑体" w:cs="黑体"/>
          <w:color w:val="000000" w:themeColor="text1"/>
          <w:spacing w:val="-2"/>
          <w:sz w:val="32"/>
          <w:szCs w:val="32"/>
        </w:rPr>
      </w:pPr>
      <w:r>
        <w:rPr>
          <w:rFonts w:ascii="黑体" w:eastAsia="黑体" w:hAnsi="黑体" w:cs="黑体" w:hint="eastAsia"/>
          <w:color w:val="000000" w:themeColor="text1"/>
          <w:spacing w:val="-2"/>
          <w:sz w:val="32"/>
          <w:szCs w:val="32"/>
        </w:rPr>
        <w:t>五、股本变动及股东情况</w:t>
      </w:r>
    </w:p>
    <w:p w:rsidR="006D2801" w:rsidRDefault="00C70A09">
      <w:pPr>
        <w:shd w:val="clear" w:color="auto" w:fill="FFFFFF"/>
        <w:tabs>
          <w:tab w:val="left" w:pos="630"/>
        </w:tabs>
        <w:spacing w:line="560" w:lineRule="exact"/>
        <w:ind w:firstLineChars="200" w:firstLine="632"/>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5.1  股东权益变动表</w:t>
      </w:r>
    </w:p>
    <w:p w:rsidR="006D2801" w:rsidRDefault="00C70A09">
      <w:pPr>
        <w:shd w:val="clear" w:color="auto" w:fill="FFFFFF"/>
        <w:spacing w:line="560" w:lineRule="exact"/>
        <w:ind w:leftChars="304" w:left="5062" w:hangingChars="1400" w:hanging="4424"/>
        <w:jc w:val="right"/>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单位：人民币  万元</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886"/>
        <w:gridCol w:w="3511"/>
      </w:tblGrid>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项  目</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2023年末</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本期增加</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股本</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11660.83</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0</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资本公积</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210</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0</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盈余公积</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1824.98</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264.45</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一般风险准备</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6193.40</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877.97</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未分配利润</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2478.43</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174.91</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lastRenderedPageBreak/>
              <w:t>其他综合收益</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 xml:space="preserve">     295.87</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32.79</w:t>
            </w:r>
          </w:p>
        </w:tc>
      </w:tr>
      <w:tr w:rsidR="006D2801">
        <w:trPr>
          <w:trHeight w:val="784"/>
        </w:trPr>
        <w:tc>
          <w:tcPr>
            <w:tcW w:w="2694"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股东权益合计</w:t>
            </w:r>
          </w:p>
        </w:tc>
        <w:tc>
          <w:tcPr>
            <w:tcW w:w="2886"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22663.51</w:t>
            </w:r>
          </w:p>
        </w:tc>
        <w:tc>
          <w:tcPr>
            <w:tcW w:w="351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1350.12</w:t>
            </w:r>
          </w:p>
        </w:tc>
      </w:tr>
    </w:tbl>
    <w:p w:rsidR="006D2801" w:rsidRDefault="006D2801">
      <w:pPr>
        <w:shd w:val="clear" w:color="auto" w:fill="FFFFFF"/>
        <w:tabs>
          <w:tab w:val="left" w:pos="630"/>
        </w:tabs>
        <w:spacing w:line="560" w:lineRule="exact"/>
        <w:ind w:leftChars="304" w:left="5362" w:hangingChars="1495" w:hanging="4724"/>
        <w:rPr>
          <w:rFonts w:ascii="仿宋_GB2312" w:eastAsia="仿宋_GB2312" w:hAnsi="宋体" w:cs="宋体"/>
          <w:color w:val="000000" w:themeColor="text1"/>
          <w:spacing w:val="-2"/>
          <w:sz w:val="32"/>
          <w:szCs w:val="32"/>
        </w:rPr>
      </w:pPr>
    </w:p>
    <w:p w:rsidR="006D2801" w:rsidRDefault="00C70A09">
      <w:pPr>
        <w:shd w:val="clear" w:color="auto" w:fill="FFFFFF"/>
        <w:tabs>
          <w:tab w:val="left" w:pos="630"/>
        </w:tabs>
        <w:spacing w:line="560" w:lineRule="exact"/>
        <w:ind w:leftChars="304" w:left="5362" w:hangingChars="1495" w:hanging="4724"/>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5.2  股东权益变动表</w:t>
      </w:r>
    </w:p>
    <w:p w:rsidR="006D2801" w:rsidRDefault="00C70A09">
      <w:pPr>
        <w:shd w:val="clear" w:color="auto" w:fill="FFFFFF"/>
        <w:tabs>
          <w:tab w:val="left" w:pos="630"/>
        </w:tabs>
        <w:spacing w:line="560" w:lineRule="exact"/>
        <w:ind w:leftChars="304" w:left="5362" w:hangingChars="1495" w:hanging="4724"/>
        <w:jc w:val="right"/>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 xml:space="preserve">单位：人民币  万元 </w:t>
      </w:r>
    </w:p>
    <w:tbl>
      <w:tblPr>
        <w:tblW w:w="8960" w:type="dxa"/>
        <w:jc w:val="center"/>
        <w:tblLayout w:type="fixed"/>
        <w:tblLook w:val="04A0"/>
      </w:tblPr>
      <w:tblGrid>
        <w:gridCol w:w="2681"/>
        <w:gridCol w:w="3256"/>
        <w:gridCol w:w="3023"/>
      </w:tblGrid>
      <w:tr w:rsidR="006D2801">
        <w:trPr>
          <w:trHeight w:val="851"/>
          <w:jc w:val="center"/>
        </w:trPr>
        <w:tc>
          <w:tcPr>
            <w:tcW w:w="2681"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股东类型</w:t>
            </w:r>
          </w:p>
        </w:tc>
        <w:tc>
          <w:tcPr>
            <w:tcW w:w="3256"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2023年末股本数</w:t>
            </w:r>
          </w:p>
        </w:tc>
        <w:tc>
          <w:tcPr>
            <w:tcW w:w="3023"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占总股本比例（%）</w:t>
            </w:r>
          </w:p>
        </w:tc>
      </w:tr>
      <w:tr w:rsidR="006D2801">
        <w:trPr>
          <w:trHeight w:val="851"/>
          <w:jc w:val="center"/>
        </w:trPr>
        <w:tc>
          <w:tcPr>
            <w:tcW w:w="2681"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法人股</w:t>
            </w:r>
          </w:p>
        </w:tc>
        <w:tc>
          <w:tcPr>
            <w:tcW w:w="325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4379.06</w:t>
            </w:r>
          </w:p>
        </w:tc>
        <w:tc>
          <w:tcPr>
            <w:tcW w:w="3023"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37.55</w:t>
            </w:r>
          </w:p>
        </w:tc>
      </w:tr>
      <w:tr w:rsidR="006D2801">
        <w:trPr>
          <w:trHeight w:val="851"/>
          <w:jc w:val="center"/>
        </w:trPr>
        <w:tc>
          <w:tcPr>
            <w:tcW w:w="2681"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非职工自然人股</w:t>
            </w:r>
          </w:p>
        </w:tc>
        <w:tc>
          <w:tcPr>
            <w:tcW w:w="325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5508.82</w:t>
            </w:r>
          </w:p>
        </w:tc>
        <w:tc>
          <w:tcPr>
            <w:tcW w:w="3023"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47.25</w:t>
            </w:r>
          </w:p>
        </w:tc>
      </w:tr>
      <w:tr w:rsidR="006D2801">
        <w:trPr>
          <w:trHeight w:val="851"/>
          <w:jc w:val="center"/>
        </w:trPr>
        <w:tc>
          <w:tcPr>
            <w:tcW w:w="2681"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职工自然人股</w:t>
            </w:r>
          </w:p>
        </w:tc>
        <w:tc>
          <w:tcPr>
            <w:tcW w:w="3256"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1772.95</w:t>
            </w:r>
          </w:p>
        </w:tc>
        <w:tc>
          <w:tcPr>
            <w:tcW w:w="3023"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15.20</w:t>
            </w:r>
          </w:p>
        </w:tc>
      </w:tr>
    </w:tbl>
    <w:p w:rsidR="006D2801" w:rsidRDefault="006D2801">
      <w:pPr>
        <w:shd w:val="clear" w:color="auto" w:fill="FFFFFF"/>
        <w:tabs>
          <w:tab w:val="left" w:pos="630"/>
        </w:tabs>
        <w:spacing w:line="560" w:lineRule="exact"/>
        <w:rPr>
          <w:rFonts w:ascii="仿宋_GB2312" w:eastAsia="仿宋_GB2312" w:hAnsi="宋体" w:cs="宋体"/>
          <w:color w:val="000000" w:themeColor="text1"/>
          <w:spacing w:val="-2"/>
          <w:sz w:val="32"/>
          <w:szCs w:val="32"/>
        </w:rPr>
      </w:pPr>
    </w:p>
    <w:p w:rsidR="006D2801" w:rsidRDefault="00C70A09">
      <w:pPr>
        <w:shd w:val="clear" w:color="auto" w:fill="FFFFFF"/>
        <w:tabs>
          <w:tab w:val="left" w:pos="630"/>
        </w:tabs>
        <w:spacing w:line="560" w:lineRule="exact"/>
        <w:ind w:firstLineChars="196" w:firstLine="619"/>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5.3  最大十户股东及持股情况</w:t>
      </w:r>
    </w:p>
    <w:p w:rsidR="006D2801" w:rsidRDefault="00C70A09">
      <w:pPr>
        <w:shd w:val="clear" w:color="auto" w:fill="FFFFFF"/>
        <w:spacing w:line="560" w:lineRule="exact"/>
        <w:ind w:firstLineChars="200" w:firstLine="632"/>
        <w:jc w:val="right"/>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 xml:space="preserve">      单位：人民币  万股</w:t>
      </w:r>
    </w:p>
    <w:tbl>
      <w:tblPr>
        <w:tblW w:w="8982" w:type="dxa"/>
        <w:jc w:val="center"/>
        <w:tblLayout w:type="fixed"/>
        <w:tblLook w:val="04A0"/>
      </w:tblPr>
      <w:tblGrid>
        <w:gridCol w:w="4860"/>
        <w:gridCol w:w="2057"/>
        <w:gridCol w:w="2065"/>
      </w:tblGrid>
      <w:tr w:rsidR="006D2801">
        <w:trPr>
          <w:trHeight w:val="667"/>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股东名称</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持股数额</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持股比例（%）</w:t>
            </w:r>
          </w:p>
        </w:tc>
      </w:tr>
      <w:tr w:rsidR="006D2801">
        <w:trPr>
          <w:trHeight w:val="667"/>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铜鼓发展控股集团有限公司</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727.75</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6.24</w:t>
            </w:r>
          </w:p>
        </w:tc>
      </w:tr>
      <w:tr w:rsidR="006D2801">
        <w:trPr>
          <w:trHeight w:val="668"/>
          <w:jc w:val="center"/>
        </w:trPr>
        <w:tc>
          <w:tcPr>
            <w:tcW w:w="4860" w:type="dxa"/>
            <w:tcBorders>
              <w:top w:val="nil"/>
              <w:left w:val="single" w:sz="4" w:space="0" w:color="auto"/>
              <w:bottom w:val="single" w:sz="4" w:space="0" w:color="auto"/>
              <w:right w:val="single" w:sz="4" w:space="0" w:color="auto"/>
            </w:tcBorders>
            <w:vAlign w:val="center"/>
          </w:tcPr>
          <w:p w:rsidR="006D2801" w:rsidRDefault="0022438A">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宜春</w:t>
            </w:r>
            <w:proofErr w:type="gramStart"/>
            <w:r>
              <w:rPr>
                <w:rFonts w:ascii="仿宋_GB2312" w:eastAsia="仿宋_GB2312" w:hAnsi="宋体" w:cs="宋体" w:hint="eastAsia"/>
                <w:color w:val="000000" w:themeColor="text1"/>
                <w:spacing w:val="-2"/>
                <w:sz w:val="32"/>
                <w:szCs w:val="32"/>
              </w:rPr>
              <w:t>市</w:t>
            </w:r>
            <w:r w:rsidR="00C70A09">
              <w:rPr>
                <w:rFonts w:ascii="仿宋_GB2312" w:eastAsia="仿宋_GB2312" w:hAnsi="宋体" w:cs="宋体" w:hint="eastAsia"/>
                <w:color w:val="000000" w:themeColor="text1"/>
                <w:spacing w:val="-2"/>
                <w:sz w:val="32"/>
                <w:szCs w:val="32"/>
              </w:rPr>
              <w:t>峰升实业</w:t>
            </w:r>
            <w:proofErr w:type="gramEnd"/>
            <w:r w:rsidR="00C70A09">
              <w:rPr>
                <w:rFonts w:ascii="仿宋_GB2312" w:eastAsia="仿宋_GB2312" w:hAnsi="宋体" w:cs="宋体" w:hint="eastAsia"/>
                <w:color w:val="000000" w:themeColor="text1"/>
                <w:spacing w:val="-2"/>
                <w:sz w:val="32"/>
                <w:szCs w:val="32"/>
              </w:rPr>
              <w:t>有限公司</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746.20</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6.40</w:t>
            </w:r>
          </w:p>
        </w:tc>
      </w:tr>
      <w:tr w:rsidR="006D2801">
        <w:trPr>
          <w:trHeight w:val="667"/>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江西金仁实业有限公司</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639.60</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5.49</w:t>
            </w:r>
          </w:p>
        </w:tc>
      </w:tr>
      <w:tr w:rsidR="006D2801">
        <w:trPr>
          <w:trHeight w:val="668"/>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铜鼓县山里人家禽业有限公司</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533.00</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4.57</w:t>
            </w:r>
          </w:p>
        </w:tc>
      </w:tr>
      <w:tr w:rsidR="006D2801">
        <w:trPr>
          <w:trHeight w:val="667"/>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江西江农有机肥发展有限责任公司</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533.00</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4.57</w:t>
            </w:r>
          </w:p>
        </w:tc>
      </w:tr>
      <w:tr w:rsidR="006D2801">
        <w:trPr>
          <w:trHeight w:val="667"/>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江西樟宜实业有限公司</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462.45</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3.97</w:t>
            </w:r>
          </w:p>
        </w:tc>
      </w:tr>
      <w:tr w:rsidR="006D2801">
        <w:trPr>
          <w:trHeight w:val="667"/>
          <w:jc w:val="center"/>
        </w:trPr>
        <w:tc>
          <w:tcPr>
            <w:tcW w:w="4860" w:type="dxa"/>
            <w:tcBorders>
              <w:top w:val="single" w:sz="4" w:space="0" w:color="auto"/>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lastRenderedPageBreak/>
              <w:t>铜鼓县永</w:t>
            </w:r>
            <w:proofErr w:type="gramStart"/>
            <w:r>
              <w:rPr>
                <w:rFonts w:ascii="仿宋_GB2312" w:eastAsia="仿宋_GB2312" w:hAnsi="宋体" w:cs="宋体" w:hint="eastAsia"/>
                <w:color w:val="000000" w:themeColor="text1"/>
                <w:spacing w:val="-2"/>
                <w:sz w:val="32"/>
                <w:szCs w:val="32"/>
              </w:rPr>
              <w:t>惠保障房</w:t>
            </w:r>
            <w:proofErr w:type="gramEnd"/>
            <w:r>
              <w:rPr>
                <w:rFonts w:ascii="仿宋_GB2312" w:eastAsia="仿宋_GB2312" w:hAnsi="宋体" w:cs="宋体" w:hint="eastAsia"/>
                <w:color w:val="000000" w:themeColor="text1"/>
                <w:spacing w:val="-2"/>
                <w:sz w:val="32"/>
                <w:szCs w:val="32"/>
              </w:rPr>
              <w:t>投资有限公司</w:t>
            </w:r>
          </w:p>
        </w:tc>
        <w:tc>
          <w:tcPr>
            <w:tcW w:w="2057"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300</w:t>
            </w:r>
          </w:p>
        </w:tc>
        <w:tc>
          <w:tcPr>
            <w:tcW w:w="2065" w:type="dxa"/>
            <w:tcBorders>
              <w:top w:val="single" w:sz="4" w:space="0" w:color="auto"/>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2.57</w:t>
            </w:r>
          </w:p>
        </w:tc>
      </w:tr>
      <w:tr w:rsidR="006D2801">
        <w:trPr>
          <w:trHeight w:val="668"/>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巢文庆</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242.24</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2.08</w:t>
            </w:r>
          </w:p>
        </w:tc>
      </w:tr>
      <w:tr w:rsidR="006D2801">
        <w:trPr>
          <w:trHeight w:val="667"/>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熊斌</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211.63</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1.81</w:t>
            </w:r>
          </w:p>
        </w:tc>
      </w:tr>
      <w:tr w:rsidR="006D2801">
        <w:trPr>
          <w:trHeight w:val="667"/>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江西省铜鼓</w:t>
            </w:r>
            <w:proofErr w:type="gramStart"/>
            <w:r>
              <w:rPr>
                <w:rFonts w:ascii="仿宋_GB2312" w:eastAsia="仿宋_GB2312" w:hAnsi="宋体" w:cs="宋体" w:hint="eastAsia"/>
                <w:color w:val="000000" w:themeColor="text1"/>
                <w:spacing w:val="-2"/>
                <w:sz w:val="32"/>
                <w:szCs w:val="32"/>
              </w:rPr>
              <w:t>县山珠人造板</w:t>
            </w:r>
            <w:proofErr w:type="gramEnd"/>
            <w:r>
              <w:rPr>
                <w:rFonts w:ascii="仿宋_GB2312" w:eastAsia="仿宋_GB2312" w:hAnsi="宋体" w:cs="宋体" w:hint="eastAsia"/>
                <w:color w:val="000000" w:themeColor="text1"/>
                <w:spacing w:val="-2"/>
                <w:sz w:val="32"/>
                <w:szCs w:val="32"/>
              </w:rPr>
              <w:t>有限责任公司</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213.20</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1.83</w:t>
            </w:r>
          </w:p>
        </w:tc>
      </w:tr>
      <w:tr w:rsidR="006D2801">
        <w:trPr>
          <w:trHeight w:val="668"/>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proofErr w:type="gramStart"/>
            <w:r>
              <w:rPr>
                <w:rFonts w:ascii="仿宋_GB2312" w:eastAsia="仿宋_GB2312" w:hAnsi="宋体" w:cs="宋体" w:hint="eastAsia"/>
                <w:color w:val="000000" w:themeColor="text1"/>
                <w:spacing w:val="-2"/>
                <w:sz w:val="32"/>
                <w:szCs w:val="32"/>
              </w:rPr>
              <w:t>熊曦</w:t>
            </w:r>
            <w:proofErr w:type="gramEnd"/>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211.42</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1.81</w:t>
            </w:r>
          </w:p>
        </w:tc>
      </w:tr>
      <w:tr w:rsidR="006D2801">
        <w:trPr>
          <w:trHeight w:val="668"/>
          <w:jc w:val="center"/>
        </w:trPr>
        <w:tc>
          <w:tcPr>
            <w:tcW w:w="4860" w:type="dxa"/>
            <w:tcBorders>
              <w:top w:val="nil"/>
              <w:left w:val="single" w:sz="4" w:space="0" w:color="auto"/>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合计</w:t>
            </w:r>
          </w:p>
        </w:tc>
        <w:tc>
          <w:tcPr>
            <w:tcW w:w="2057"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4828.1</w:t>
            </w:r>
          </w:p>
        </w:tc>
        <w:tc>
          <w:tcPr>
            <w:tcW w:w="2065" w:type="dxa"/>
            <w:tcBorders>
              <w:top w:val="nil"/>
              <w:left w:val="nil"/>
              <w:bottom w:val="single" w:sz="4" w:space="0" w:color="auto"/>
              <w:right w:val="single" w:sz="4" w:space="0" w:color="auto"/>
            </w:tcBorders>
            <w:vAlign w:val="center"/>
          </w:tcPr>
          <w:p w:rsidR="006D2801" w:rsidRDefault="00C70A09">
            <w:pPr>
              <w:spacing w:line="560" w:lineRule="exact"/>
              <w:jc w:val="center"/>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41.40</w:t>
            </w:r>
          </w:p>
        </w:tc>
      </w:tr>
    </w:tbl>
    <w:p w:rsidR="006D2801" w:rsidRDefault="00C70A09" w:rsidP="006D2801">
      <w:pPr>
        <w:shd w:val="clear" w:color="auto" w:fill="FFFFFF"/>
        <w:tabs>
          <w:tab w:val="left" w:pos="630"/>
        </w:tabs>
        <w:spacing w:line="560" w:lineRule="exact"/>
        <w:ind w:firstLineChars="198" w:firstLine="626"/>
        <w:rPr>
          <w:rFonts w:ascii="仿宋_GB2312" w:eastAsia="仿宋_GB2312" w:hAnsi="宋体" w:cs="宋体"/>
          <w:color w:val="000000" w:themeColor="text1"/>
          <w:spacing w:val="-2"/>
          <w:sz w:val="32"/>
          <w:szCs w:val="32"/>
        </w:rPr>
      </w:pPr>
      <w:r>
        <w:rPr>
          <w:rFonts w:ascii="仿宋_GB2312" w:eastAsia="仿宋_GB2312" w:hAnsi="宋体" w:cs="宋体" w:hint="eastAsia"/>
          <w:color w:val="000000" w:themeColor="text1"/>
          <w:spacing w:val="-2"/>
          <w:sz w:val="32"/>
          <w:szCs w:val="32"/>
        </w:rPr>
        <w:t>5.4  关联交易情况</w:t>
      </w:r>
    </w:p>
    <w:p w:rsidR="006D2801" w:rsidRDefault="00C70A09">
      <w:pPr>
        <w:shd w:val="clear" w:color="auto" w:fill="FFFFFF"/>
        <w:spacing w:line="560" w:lineRule="exact"/>
        <w:ind w:firstLine="640"/>
        <w:rPr>
          <w:rFonts w:ascii="黑体" w:eastAsia="黑体" w:hAnsi="黑体" w:cs="黑体"/>
          <w:color w:val="000000" w:themeColor="text1"/>
          <w:spacing w:val="-2"/>
          <w:sz w:val="32"/>
          <w:szCs w:val="32"/>
        </w:rPr>
      </w:pPr>
      <w:r>
        <w:rPr>
          <w:rFonts w:ascii="仿宋_GB2312" w:eastAsia="仿宋_GB2312" w:hAnsi="宋体" w:cs="宋体" w:hint="eastAsia"/>
          <w:color w:val="000000" w:themeColor="text1"/>
          <w:spacing w:val="-2"/>
          <w:sz w:val="32"/>
          <w:szCs w:val="32"/>
        </w:rPr>
        <w:t>本行的关联交易主要是对本行内部人（本行董事、监事、高级管理人员）及其关联方、持股5%以上法人股东及其高级管理人员的贷款、银行承兑汇票及保证金差额部分的授信。本行在处理关联交易业务时，严格按照有关法律、法规以及本行的贷款程序和规定操作，定价按照不优于对非关联方同类交易的条件办理，符合诚信、公允原则。</w:t>
      </w:r>
    </w:p>
    <w:p w:rsidR="006D2801" w:rsidRDefault="00C70A09">
      <w:pPr>
        <w:shd w:val="clear" w:color="auto" w:fill="FFFFFF"/>
        <w:spacing w:line="560" w:lineRule="exact"/>
        <w:ind w:firstLine="640"/>
        <w:rPr>
          <w:rFonts w:ascii="黑体" w:eastAsia="黑体" w:hAnsi="黑体" w:cs="黑体"/>
          <w:color w:val="000000" w:themeColor="text1"/>
          <w:spacing w:val="-2"/>
          <w:sz w:val="32"/>
          <w:szCs w:val="32"/>
        </w:rPr>
      </w:pPr>
      <w:r>
        <w:rPr>
          <w:rFonts w:ascii="黑体" w:eastAsia="黑体" w:hAnsi="黑体" w:cs="黑体" w:hint="eastAsia"/>
          <w:color w:val="000000" w:themeColor="text1"/>
          <w:spacing w:val="-2"/>
          <w:sz w:val="32"/>
          <w:szCs w:val="32"/>
        </w:rPr>
        <w:t>六、风险管理情况</w:t>
      </w:r>
    </w:p>
    <w:p w:rsidR="006D2801" w:rsidRDefault="00C70A09">
      <w:pPr>
        <w:shd w:val="clear" w:color="auto" w:fill="FFFFFF"/>
        <w:spacing w:line="560" w:lineRule="exact"/>
        <w:ind w:firstLine="627"/>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6.1主要监管指标情况</w:t>
      </w:r>
    </w:p>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宋体" w:hAnsi="宋体" w:cs="宋体" w:hint="eastAsia"/>
          <w:color w:val="000000" w:themeColor="text1"/>
          <w:spacing w:val="-2"/>
          <w:sz w:val="32"/>
          <w:szCs w:val="32"/>
        </w:rPr>
        <w:t> </w:t>
      </w:r>
      <w:r>
        <w:rPr>
          <w:rFonts w:ascii="仿宋_GB2312" w:eastAsia="仿宋_GB2312" w:hAnsi="仿宋_GB2312" w:cs="仿宋_GB2312" w:hint="eastAsia"/>
          <w:color w:val="000000" w:themeColor="text1"/>
          <w:spacing w:val="-2"/>
          <w:sz w:val="32"/>
          <w:szCs w:val="32"/>
        </w:rPr>
        <w:t>单位：</w:t>
      </w:r>
      <w:r>
        <w:rPr>
          <w:rFonts w:ascii="宋体" w:hAnsi="宋体" w:cs="宋体" w:hint="eastAsia"/>
          <w:color w:val="000000" w:themeColor="text1"/>
          <w:spacing w:val="-2"/>
          <w:sz w:val="32"/>
          <w:szCs w:val="32"/>
        </w:rPr>
        <w:t> </w:t>
      </w:r>
      <w:r>
        <w:rPr>
          <w:rFonts w:ascii="仿宋_GB2312" w:eastAsia="仿宋_GB2312" w:hAnsi="仿宋_GB2312" w:cs="仿宋_GB2312" w:hint="eastAsia"/>
          <w:color w:val="000000" w:themeColor="text1"/>
          <w:spacing w:val="-2"/>
          <w:sz w:val="32"/>
          <w:szCs w:val="32"/>
        </w:rPr>
        <w:t>%</w:t>
      </w:r>
    </w:p>
    <w:tbl>
      <w:tblPr>
        <w:tblW w:w="8280" w:type="dxa"/>
        <w:tblInd w:w="108" w:type="dxa"/>
        <w:tblLayout w:type="fixed"/>
        <w:tblCellMar>
          <w:left w:w="0" w:type="dxa"/>
          <w:right w:w="0" w:type="dxa"/>
        </w:tblCellMar>
        <w:tblLook w:val="04A0"/>
      </w:tblPr>
      <w:tblGrid>
        <w:gridCol w:w="3420"/>
        <w:gridCol w:w="2700"/>
        <w:gridCol w:w="2160"/>
      </w:tblGrid>
      <w:tr w:rsidR="006D2801">
        <w:trPr>
          <w:trHeight w:val="363"/>
        </w:trPr>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项目</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2023年末</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监管要求</w:t>
            </w:r>
          </w:p>
        </w:tc>
      </w:tr>
      <w:tr w:rsidR="006D2801">
        <w:trPr>
          <w:trHeight w:val="275"/>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资本充足率</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11.46</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≥10.5</w:t>
            </w:r>
          </w:p>
        </w:tc>
      </w:tr>
      <w:tr w:rsidR="006D2801">
        <w:trPr>
          <w:trHeight w:val="285"/>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流动性比例</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33.51</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≥25</w:t>
            </w:r>
          </w:p>
        </w:tc>
      </w:tr>
      <w:tr w:rsidR="006D2801">
        <w:trPr>
          <w:trHeight w:val="285"/>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不良贷款率</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3.20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≤5</w:t>
            </w:r>
          </w:p>
        </w:tc>
      </w:tr>
      <w:tr w:rsidR="006D2801">
        <w:trPr>
          <w:trHeight w:val="285"/>
        </w:trPr>
        <w:tc>
          <w:tcPr>
            <w:tcW w:w="34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贷款损失准备覆盖率</w:t>
            </w:r>
          </w:p>
        </w:tc>
        <w:tc>
          <w:tcPr>
            <w:tcW w:w="2700" w:type="dxa"/>
            <w:tcBorders>
              <w:top w:val="nil"/>
              <w:left w:val="nil"/>
              <w:bottom w:val="single" w:sz="8" w:space="0" w:color="auto"/>
              <w:right w:val="nil"/>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259.83</w:t>
            </w:r>
          </w:p>
        </w:tc>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≥150</w:t>
            </w:r>
          </w:p>
        </w:tc>
      </w:tr>
      <w:tr w:rsidR="006D2801">
        <w:trPr>
          <w:trHeight w:val="285"/>
        </w:trPr>
        <w:tc>
          <w:tcPr>
            <w:tcW w:w="3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成本收入比率</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41.20</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D2801" w:rsidRDefault="00C70A09">
            <w:pPr>
              <w:spacing w:line="560" w:lineRule="exact"/>
              <w:jc w:val="center"/>
              <w:rPr>
                <w:rFonts w:ascii="仿宋_GB2312" w:eastAsia="仿宋_GB2312" w:hAnsi="仿宋_GB2312" w:cs="仿宋_GB2312"/>
                <w:color w:val="000000" w:themeColor="text1"/>
                <w:spacing w:val="-2"/>
                <w:sz w:val="32"/>
                <w:szCs w:val="32"/>
              </w:rPr>
            </w:pPr>
            <w:r>
              <w:rPr>
                <w:rFonts w:ascii="仿宋_GB2312" w:eastAsia="仿宋_GB2312" w:hAnsi="仿宋_GB2312" w:cs="仿宋_GB2312" w:hint="eastAsia"/>
                <w:color w:val="000000" w:themeColor="text1"/>
                <w:spacing w:val="-2"/>
                <w:sz w:val="32"/>
                <w:szCs w:val="32"/>
              </w:rPr>
              <w:t>≤35</w:t>
            </w:r>
          </w:p>
        </w:tc>
      </w:tr>
    </w:tbl>
    <w:p w:rsidR="006D2801" w:rsidRDefault="00C70A09">
      <w:pPr>
        <w:shd w:val="clear" w:color="auto" w:fill="FFFFFF"/>
        <w:spacing w:line="560" w:lineRule="exact"/>
        <w:ind w:firstLine="6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32"/>
          <w:szCs w:val="32"/>
        </w:rPr>
        <w:lastRenderedPageBreak/>
        <w:t>6.2贷款主要行业分布</w:t>
      </w:r>
    </w:p>
    <w:p w:rsidR="006D2801" w:rsidRDefault="00C70A09">
      <w:pPr>
        <w:shd w:val="clear" w:color="auto" w:fill="FFFFFF"/>
        <w:spacing w:line="560" w:lineRule="exact"/>
        <w:jc w:val="right"/>
        <w:rPr>
          <w:rFonts w:ascii="仿宋_GB2312" w:eastAsia="仿宋_GB2312" w:hAnsi="仿宋_GB2312" w:cs="仿宋_GB2312"/>
          <w:color w:val="000000" w:themeColor="text1"/>
          <w:sz w:val="28"/>
          <w:szCs w:val="28"/>
        </w:rPr>
      </w:pPr>
      <w:r>
        <w:rPr>
          <w:rFonts w:ascii="宋体" w:hAnsi="宋体" w:cs="宋体" w:hint="eastAsia"/>
          <w:color w:val="000000" w:themeColor="text1"/>
          <w:sz w:val="24"/>
        </w:rPr>
        <w:t>           </w:t>
      </w:r>
      <w:r>
        <w:rPr>
          <w:rFonts w:ascii="仿宋_GB2312" w:eastAsia="仿宋_GB2312" w:hAnsi="仿宋_GB2312" w:cs="仿宋_GB2312" w:hint="eastAsia"/>
          <w:color w:val="000000" w:themeColor="text1"/>
          <w:sz w:val="28"/>
          <w:szCs w:val="28"/>
        </w:rPr>
        <w:t>单位：人民币</w:t>
      </w:r>
      <w:r>
        <w:rPr>
          <w:rFonts w:ascii="宋体" w:hAnsi="宋体" w:cs="宋体" w:hint="eastAsia"/>
          <w:color w:val="000000" w:themeColor="text1"/>
          <w:sz w:val="28"/>
          <w:szCs w:val="28"/>
        </w:rPr>
        <w:t>   </w:t>
      </w:r>
      <w:r>
        <w:rPr>
          <w:rFonts w:ascii="仿宋_GB2312" w:eastAsia="仿宋_GB2312" w:hAnsi="仿宋_GB2312" w:cs="仿宋_GB2312" w:hint="eastAsia"/>
          <w:color w:val="000000" w:themeColor="text1"/>
          <w:sz w:val="28"/>
          <w:szCs w:val="28"/>
        </w:rPr>
        <w:t>万元</w:t>
      </w:r>
    </w:p>
    <w:tbl>
      <w:tblPr>
        <w:tblW w:w="8300" w:type="dxa"/>
        <w:tblInd w:w="93" w:type="dxa"/>
        <w:tblLook w:val="04A0"/>
      </w:tblPr>
      <w:tblGrid>
        <w:gridCol w:w="2980"/>
        <w:gridCol w:w="2480"/>
        <w:gridCol w:w="2840"/>
      </w:tblGrid>
      <w:tr w:rsidR="00C70A09" w:rsidRPr="00DA3469" w:rsidTr="00C70A09">
        <w:trPr>
          <w:trHeight w:val="450"/>
          <w:tblHeader/>
        </w:trPr>
        <w:tc>
          <w:tcPr>
            <w:tcW w:w="2980" w:type="dxa"/>
            <w:tcBorders>
              <w:top w:val="nil"/>
              <w:left w:val="nil"/>
              <w:bottom w:val="nil"/>
              <w:right w:val="nil"/>
            </w:tcBorders>
            <w:shd w:val="clear" w:color="auto" w:fill="auto"/>
            <w:noWrap/>
            <w:vAlign w:val="center"/>
            <w:hideMark/>
          </w:tcPr>
          <w:p w:rsidR="00C70A09" w:rsidRPr="00DA3469" w:rsidRDefault="00C70A09" w:rsidP="00C70A09">
            <w:pPr>
              <w:widowControl/>
              <w:jc w:val="left"/>
              <w:rPr>
                <w:rFonts w:ascii="宋体" w:hAnsi="宋体" w:cs="宋体"/>
                <w:color w:val="000000" w:themeColor="text1"/>
                <w:kern w:val="0"/>
                <w:sz w:val="28"/>
                <w:szCs w:val="28"/>
              </w:rPr>
            </w:pPr>
            <w:r w:rsidRPr="00DA3469">
              <w:rPr>
                <w:rFonts w:ascii="宋体" w:hAnsi="宋体" w:cs="宋体" w:hint="eastAsia"/>
                <w:color w:val="000000" w:themeColor="text1"/>
                <w:sz w:val="24"/>
              </w:rPr>
              <w:t>           </w:t>
            </w:r>
          </w:p>
        </w:tc>
        <w:tc>
          <w:tcPr>
            <w:tcW w:w="2480" w:type="dxa"/>
            <w:tcBorders>
              <w:top w:val="nil"/>
              <w:left w:val="nil"/>
              <w:bottom w:val="nil"/>
              <w:right w:val="nil"/>
            </w:tcBorders>
            <w:shd w:val="clear" w:color="auto" w:fill="auto"/>
            <w:noWrap/>
            <w:vAlign w:val="center"/>
            <w:hideMark/>
          </w:tcPr>
          <w:p w:rsidR="00C70A09" w:rsidRPr="00DA3469" w:rsidRDefault="00C70A09" w:rsidP="00C70A09">
            <w:pPr>
              <w:widowControl/>
              <w:jc w:val="left"/>
              <w:rPr>
                <w:rFonts w:ascii="宋体" w:hAnsi="宋体" w:cs="宋体"/>
                <w:color w:val="000000" w:themeColor="text1"/>
                <w:kern w:val="0"/>
                <w:sz w:val="28"/>
                <w:szCs w:val="28"/>
              </w:rPr>
            </w:pPr>
          </w:p>
        </w:tc>
        <w:tc>
          <w:tcPr>
            <w:tcW w:w="2840" w:type="dxa"/>
            <w:tcBorders>
              <w:top w:val="nil"/>
              <w:left w:val="nil"/>
              <w:bottom w:val="nil"/>
              <w:right w:val="nil"/>
            </w:tcBorders>
            <w:shd w:val="clear" w:color="auto" w:fill="auto"/>
            <w:noWrap/>
            <w:vAlign w:val="center"/>
            <w:hideMark/>
          </w:tcPr>
          <w:p w:rsidR="00C70A09" w:rsidRPr="00DA3469" w:rsidRDefault="00C70A09" w:rsidP="00C70A09">
            <w:pPr>
              <w:widowControl/>
              <w:jc w:val="right"/>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单位：人民币(万元)</w:t>
            </w:r>
          </w:p>
        </w:tc>
      </w:tr>
      <w:tr w:rsidR="00C70A09" w:rsidRPr="00DA3469" w:rsidTr="00C70A09">
        <w:trPr>
          <w:trHeight w:val="555"/>
          <w:tblHead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行业种类</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2023年末余额</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占贷款总额（%）</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批发和零售业</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46817.78</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17.72 </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制造业</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28717.72</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10.87 </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农、林、牧、渔业</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37450.91</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14.18 </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房地产</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21957.05</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8.31 </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建筑业</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25353.33</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9.60 </w:t>
            </w:r>
          </w:p>
        </w:tc>
      </w:tr>
      <w:tr w:rsidR="00C70A09" w:rsidRPr="00DA3469" w:rsidTr="00C70A09">
        <w:trPr>
          <w:trHeight w:val="55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合</w:t>
            </w:r>
            <w:r>
              <w:rPr>
                <w:rFonts w:ascii="宋体" w:hAnsi="宋体" w:cs="宋体" w:hint="eastAsia"/>
                <w:color w:val="000000" w:themeColor="text1"/>
                <w:kern w:val="0"/>
                <w:sz w:val="28"/>
                <w:szCs w:val="28"/>
              </w:rPr>
              <w:t xml:space="preserve">  </w:t>
            </w:r>
            <w:r w:rsidRPr="00DA3469">
              <w:rPr>
                <w:rFonts w:ascii="宋体" w:hAnsi="宋体" w:cs="宋体" w:hint="eastAsia"/>
                <w:color w:val="000000" w:themeColor="text1"/>
                <w:kern w:val="0"/>
                <w:sz w:val="28"/>
                <w:szCs w:val="28"/>
              </w:rPr>
              <w:t>计</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160296.79</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60.68 </w:t>
            </w:r>
          </w:p>
        </w:tc>
      </w:tr>
    </w:tbl>
    <w:p w:rsidR="006D2801" w:rsidRDefault="006D2801">
      <w:pPr>
        <w:shd w:val="clear" w:color="auto" w:fill="FFFFFF"/>
        <w:spacing w:line="560" w:lineRule="exact"/>
        <w:rPr>
          <w:rFonts w:ascii="仿宋_GB2312" w:eastAsia="仿宋_GB2312" w:hAnsi="仿宋_GB2312" w:cs="仿宋_GB2312"/>
          <w:color w:val="000000" w:themeColor="text1"/>
          <w:sz w:val="32"/>
          <w:szCs w:val="32"/>
        </w:rPr>
      </w:pPr>
    </w:p>
    <w:p w:rsidR="006D2801" w:rsidRPr="00C70A09" w:rsidRDefault="00C70A09" w:rsidP="00C70A09">
      <w:pPr>
        <w:shd w:val="clear" w:color="auto" w:fill="FFFFFF"/>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6.3贷款风险分类和不良贷款情</w:t>
      </w:r>
      <w:r>
        <w:rPr>
          <w:rFonts w:ascii="宋体" w:hAnsi="宋体" w:cs="宋体" w:hint="eastAsia"/>
          <w:color w:val="000000" w:themeColor="text1"/>
          <w:sz w:val="32"/>
          <w:szCs w:val="32"/>
        </w:rPr>
        <w:t>         </w:t>
      </w:r>
    </w:p>
    <w:tbl>
      <w:tblPr>
        <w:tblW w:w="8300" w:type="dxa"/>
        <w:tblInd w:w="93" w:type="dxa"/>
        <w:tblLook w:val="04A0"/>
      </w:tblPr>
      <w:tblGrid>
        <w:gridCol w:w="2980"/>
        <w:gridCol w:w="2480"/>
        <w:gridCol w:w="2840"/>
      </w:tblGrid>
      <w:tr w:rsidR="00C70A09" w:rsidRPr="00DA3469" w:rsidTr="00C70A09">
        <w:trPr>
          <w:trHeight w:val="480"/>
        </w:trPr>
        <w:tc>
          <w:tcPr>
            <w:tcW w:w="2980" w:type="dxa"/>
            <w:tcBorders>
              <w:top w:val="nil"/>
              <w:left w:val="nil"/>
              <w:bottom w:val="nil"/>
              <w:right w:val="nil"/>
            </w:tcBorders>
            <w:shd w:val="clear" w:color="auto" w:fill="auto"/>
            <w:noWrap/>
            <w:vAlign w:val="center"/>
            <w:hideMark/>
          </w:tcPr>
          <w:p w:rsidR="00C70A09" w:rsidRPr="00DA3469" w:rsidRDefault="00C70A09" w:rsidP="00C70A09">
            <w:pPr>
              <w:widowControl/>
              <w:jc w:val="right"/>
              <w:rPr>
                <w:rFonts w:ascii="宋体" w:hAnsi="宋体" w:cs="宋体"/>
                <w:color w:val="000000" w:themeColor="text1"/>
                <w:kern w:val="0"/>
                <w:sz w:val="28"/>
                <w:szCs w:val="28"/>
              </w:rPr>
            </w:pPr>
          </w:p>
        </w:tc>
        <w:tc>
          <w:tcPr>
            <w:tcW w:w="2480" w:type="dxa"/>
            <w:tcBorders>
              <w:top w:val="nil"/>
              <w:left w:val="nil"/>
              <w:bottom w:val="nil"/>
              <w:right w:val="nil"/>
            </w:tcBorders>
            <w:shd w:val="clear" w:color="auto" w:fill="auto"/>
            <w:noWrap/>
            <w:vAlign w:val="center"/>
            <w:hideMark/>
          </w:tcPr>
          <w:p w:rsidR="00C70A09" w:rsidRPr="00DA3469" w:rsidRDefault="00C70A09" w:rsidP="00C70A09">
            <w:pPr>
              <w:widowControl/>
              <w:jc w:val="left"/>
              <w:rPr>
                <w:rFonts w:ascii="宋体" w:hAnsi="宋体" w:cs="宋体"/>
                <w:color w:val="000000" w:themeColor="text1"/>
                <w:kern w:val="0"/>
                <w:sz w:val="28"/>
                <w:szCs w:val="28"/>
              </w:rPr>
            </w:pPr>
          </w:p>
        </w:tc>
        <w:tc>
          <w:tcPr>
            <w:tcW w:w="2840" w:type="dxa"/>
            <w:tcBorders>
              <w:top w:val="nil"/>
              <w:left w:val="nil"/>
              <w:bottom w:val="nil"/>
              <w:right w:val="nil"/>
            </w:tcBorders>
            <w:shd w:val="clear" w:color="auto" w:fill="auto"/>
            <w:noWrap/>
            <w:vAlign w:val="center"/>
            <w:hideMark/>
          </w:tcPr>
          <w:p w:rsidR="00C70A09" w:rsidRPr="00DA3469" w:rsidRDefault="00C70A09" w:rsidP="00C70A09">
            <w:pPr>
              <w:widowControl/>
              <w:jc w:val="right"/>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单位：人民币(万元)</w:t>
            </w:r>
          </w:p>
        </w:tc>
      </w:tr>
      <w:tr w:rsidR="00C70A09" w:rsidRPr="00DA3469" w:rsidTr="00C70A09">
        <w:trPr>
          <w:trHeight w:val="49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项目</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期末数</w:t>
            </w:r>
          </w:p>
        </w:tc>
        <w:tc>
          <w:tcPr>
            <w:tcW w:w="2840" w:type="dxa"/>
            <w:tcBorders>
              <w:top w:val="single" w:sz="4" w:space="0" w:color="auto"/>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b/>
                <w:color w:val="000000" w:themeColor="text1"/>
                <w:kern w:val="0"/>
                <w:sz w:val="28"/>
                <w:szCs w:val="28"/>
              </w:rPr>
            </w:pPr>
            <w:r w:rsidRPr="00DA3469">
              <w:rPr>
                <w:rFonts w:ascii="宋体" w:hAnsi="宋体" w:cs="宋体" w:hint="eastAsia"/>
                <w:b/>
                <w:color w:val="000000" w:themeColor="text1"/>
                <w:kern w:val="0"/>
                <w:sz w:val="28"/>
                <w:szCs w:val="28"/>
              </w:rPr>
              <w:t>占比（%）</w:t>
            </w:r>
          </w:p>
        </w:tc>
      </w:tr>
      <w:tr w:rsidR="00C70A09" w:rsidRPr="00DA3469" w:rsidTr="00C70A09">
        <w:trPr>
          <w:trHeight w:val="49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正常</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253648.03</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96.01 </w:t>
            </w:r>
          </w:p>
        </w:tc>
      </w:tr>
      <w:tr w:rsidR="00C70A09" w:rsidRPr="00DA3469" w:rsidTr="00C70A09">
        <w:trPr>
          <w:trHeight w:val="49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关注</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2076.76</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0.79 </w:t>
            </w:r>
          </w:p>
        </w:tc>
      </w:tr>
      <w:tr w:rsidR="00C70A09" w:rsidRPr="00DA3469" w:rsidTr="00C70A09">
        <w:trPr>
          <w:trHeight w:val="49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次级</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1395.96</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0.53 </w:t>
            </w:r>
          </w:p>
        </w:tc>
      </w:tr>
      <w:tr w:rsidR="00C70A09" w:rsidRPr="00DA3469" w:rsidTr="00C70A09">
        <w:trPr>
          <w:trHeight w:val="49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可疑</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6520.46</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2.47 </w:t>
            </w:r>
          </w:p>
        </w:tc>
      </w:tr>
      <w:tr w:rsidR="00C70A09" w:rsidRPr="00DA3469" w:rsidTr="00C70A09">
        <w:trPr>
          <w:trHeight w:val="49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损失</w:t>
            </w:r>
          </w:p>
        </w:tc>
        <w:tc>
          <w:tcPr>
            <w:tcW w:w="248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544.65</w:t>
            </w:r>
          </w:p>
        </w:tc>
        <w:tc>
          <w:tcPr>
            <w:tcW w:w="2840" w:type="dxa"/>
            <w:tcBorders>
              <w:top w:val="nil"/>
              <w:left w:val="nil"/>
              <w:bottom w:val="single" w:sz="4" w:space="0" w:color="auto"/>
              <w:right w:val="single" w:sz="4" w:space="0" w:color="auto"/>
            </w:tcBorders>
            <w:shd w:val="clear" w:color="auto" w:fill="auto"/>
            <w:vAlign w:val="center"/>
            <w:hideMark/>
          </w:tcPr>
          <w:p w:rsidR="00C70A09" w:rsidRPr="00DA3469" w:rsidRDefault="00C70A09" w:rsidP="00C70A09">
            <w:pPr>
              <w:widowControl/>
              <w:jc w:val="center"/>
              <w:rPr>
                <w:rFonts w:ascii="宋体" w:hAnsi="宋体" w:cs="宋体"/>
                <w:color w:val="000000" w:themeColor="text1"/>
                <w:kern w:val="0"/>
                <w:sz w:val="28"/>
                <w:szCs w:val="28"/>
              </w:rPr>
            </w:pPr>
            <w:r w:rsidRPr="00DA3469">
              <w:rPr>
                <w:rFonts w:ascii="宋体" w:hAnsi="宋体" w:cs="宋体" w:hint="eastAsia"/>
                <w:color w:val="000000" w:themeColor="text1"/>
                <w:kern w:val="0"/>
                <w:sz w:val="28"/>
                <w:szCs w:val="28"/>
              </w:rPr>
              <w:t xml:space="preserve">0.21 </w:t>
            </w:r>
          </w:p>
        </w:tc>
      </w:tr>
    </w:tbl>
    <w:p w:rsidR="006D2801" w:rsidRDefault="006D2801">
      <w:pPr>
        <w:shd w:val="clear" w:color="auto" w:fill="FFFFFF"/>
        <w:spacing w:line="560" w:lineRule="exact"/>
        <w:rPr>
          <w:rFonts w:ascii="仿宋_GB2312" w:eastAsia="仿宋_GB2312" w:hAnsi="仿宋_GB2312" w:cs="仿宋_GB2312"/>
          <w:color w:val="000000" w:themeColor="text1"/>
          <w:sz w:val="32"/>
          <w:szCs w:val="32"/>
        </w:rPr>
      </w:pPr>
    </w:p>
    <w:p w:rsidR="006D2801" w:rsidRDefault="00C70A09">
      <w:pPr>
        <w:shd w:val="clear" w:color="auto" w:fill="FFFFFF"/>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6.4贷款损失准备情况</w:t>
      </w:r>
    </w:p>
    <w:p w:rsidR="006D2801" w:rsidRDefault="00C70A09">
      <w:pPr>
        <w:shd w:val="clear" w:color="auto" w:fill="FFFFFF"/>
        <w:spacing w:line="560" w:lineRule="exact"/>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w:t>
      </w:r>
    </w:p>
    <w:tbl>
      <w:tblPr>
        <w:tblW w:w="8240" w:type="dxa"/>
        <w:jc w:val="center"/>
        <w:tblInd w:w="93" w:type="dxa"/>
        <w:tblLook w:val="04A0"/>
      </w:tblPr>
      <w:tblGrid>
        <w:gridCol w:w="1740"/>
        <w:gridCol w:w="1300"/>
        <w:gridCol w:w="1300"/>
        <w:gridCol w:w="1300"/>
        <w:gridCol w:w="1300"/>
        <w:gridCol w:w="1300"/>
      </w:tblGrid>
      <w:tr w:rsidR="00C70A09" w:rsidRPr="009C5EDA" w:rsidTr="00C70A09">
        <w:trPr>
          <w:trHeight w:val="285"/>
          <w:jc w:val="center"/>
        </w:trPr>
        <w:tc>
          <w:tcPr>
            <w:tcW w:w="1740" w:type="dxa"/>
            <w:tcBorders>
              <w:top w:val="nil"/>
              <w:left w:val="nil"/>
              <w:bottom w:val="nil"/>
              <w:right w:val="nil"/>
            </w:tcBorders>
            <w:shd w:val="clear" w:color="auto" w:fill="auto"/>
            <w:noWrap/>
            <w:vAlign w:val="center"/>
            <w:hideMark/>
          </w:tcPr>
          <w:p w:rsidR="00C70A09" w:rsidRPr="009C5EDA" w:rsidRDefault="00C70A09" w:rsidP="00C70A09">
            <w:pPr>
              <w:widowControl/>
              <w:jc w:val="left"/>
              <w:rPr>
                <w:rFonts w:ascii="宋体" w:hAnsi="宋体" w:cs="宋体"/>
                <w:color w:val="000000" w:themeColor="text1"/>
                <w:kern w:val="0"/>
                <w:sz w:val="24"/>
              </w:rPr>
            </w:pPr>
          </w:p>
        </w:tc>
        <w:tc>
          <w:tcPr>
            <w:tcW w:w="1300" w:type="dxa"/>
            <w:tcBorders>
              <w:top w:val="nil"/>
              <w:left w:val="nil"/>
              <w:bottom w:val="nil"/>
              <w:right w:val="nil"/>
            </w:tcBorders>
            <w:shd w:val="clear" w:color="auto" w:fill="auto"/>
            <w:noWrap/>
            <w:vAlign w:val="center"/>
            <w:hideMark/>
          </w:tcPr>
          <w:p w:rsidR="00C70A09" w:rsidRPr="009C5EDA" w:rsidRDefault="00C70A09" w:rsidP="00C70A09">
            <w:pPr>
              <w:widowControl/>
              <w:jc w:val="left"/>
              <w:rPr>
                <w:rFonts w:ascii="宋体" w:hAnsi="宋体" w:cs="宋体"/>
                <w:color w:val="000000" w:themeColor="text1"/>
                <w:kern w:val="0"/>
                <w:sz w:val="24"/>
              </w:rPr>
            </w:pPr>
          </w:p>
        </w:tc>
        <w:tc>
          <w:tcPr>
            <w:tcW w:w="1300" w:type="dxa"/>
            <w:tcBorders>
              <w:top w:val="nil"/>
              <w:left w:val="nil"/>
              <w:bottom w:val="nil"/>
              <w:right w:val="nil"/>
            </w:tcBorders>
            <w:shd w:val="clear" w:color="auto" w:fill="auto"/>
            <w:noWrap/>
            <w:vAlign w:val="center"/>
            <w:hideMark/>
          </w:tcPr>
          <w:p w:rsidR="00C70A09" w:rsidRPr="009C5EDA" w:rsidRDefault="00C70A09" w:rsidP="00C70A09">
            <w:pPr>
              <w:widowControl/>
              <w:jc w:val="left"/>
              <w:rPr>
                <w:rFonts w:ascii="宋体" w:hAnsi="宋体" w:cs="宋体"/>
                <w:color w:val="000000" w:themeColor="text1"/>
                <w:kern w:val="0"/>
                <w:sz w:val="24"/>
              </w:rPr>
            </w:pPr>
          </w:p>
        </w:tc>
        <w:tc>
          <w:tcPr>
            <w:tcW w:w="1300" w:type="dxa"/>
            <w:tcBorders>
              <w:top w:val="nil"/>
              <w:left w:val="nil"/>
              <w:bottom w:val="nil"/>
              <w:right w:val="nil"/>
            </w:tcBorders>
            <w:shd w:val="clear" w:color="auto" w:fill="auto"/>
            <w:noWrap/>
            <w:vAlign w:val="center"/>
            <w:hideMark/>
          </w:tcPr>
          <w:p w:rsidR="00C70A09" w:rsidRPr="009C5EDA" w:rsidRDefault="00C70A09" w:rsidP="00C70A09">
            <w:pPr>
              <w:widowControl/>
              <w:jc w:val="left"/>
              <w:rPr>
                <w:rFonts w:ascii="宋体" w:hAnsi="宋体" w:cs="宋体"/>
                <w:color w:val="000000" w:themeColor="text1"/>
                <w:kern w:val="0"/>
                <w:sz w:val="24"/>
              </w:rPr>
            </w:pPr>
          </w:p>
        </w:tc>
        <w:tc>
          <w:tcPr>
            <w:tcW w:w="2600" w:type="dxa"/>
            <w:gridSpan w:val="2"/>
            <w:tcBorders>
              <w:top w:val="nil"/>
              <w:left w:val="nil"/>
              <w:bottom w:val="single" w:sz="4" w:space="0" w:color="auto"/>
              <w:right w:val="nil"/>
            </w:tcBorders>
            <w:shd w:val="clear" w:color="auto" w:fill="auto"/>
            <w:noWrap/>
            <w:vAlign w:val="center"/>
            <w:hideMark/>
          </w:tcPr>
          <w:p w:rsidR="00C70A09" w:rsidRPr="009C5EDA" w:rsidRDefault="00C70A09" w:rsidP="00C70A09">
            <w:pPr>
              <w:widowControl/>
              <w:jc w:val="right"/>
              <w:rPr>
                <w:rFonts w:ascii="宋体" w:hAnsi="宋体" w:cs="宋体"/>
                <w:color w:val="000000" w:themeColor="text1"/>
                <w:kern w:val="0"/>
                <w:sz w:val="24"/>
              </w:rPr>
            </w:pPr>
            <w:r w:rsidRPr="009C5EDA">
              <w:rPr>
                <w:rFonts w:ascii="宋体" w:hAnsi="宋体" w:cs="宋体" w:hint="eastAsia"/>
                <w:color w:val="000000" w:themeColor="text1"/>
                <w:kern w:val="0"/>
                <w:sz w:val="24"/>
              </w:rPr>
              <w:t>单位：人民币（万元）</w:t>
            </w:r>
          </w:p>
        </w:tc>
      </w:tr>
      <w:tr w:rsidR="00C70A09" w:rsidRPr="009C5EDA" w:rsidTr="00C70A09">
        <w:trPr>
          <w:trHeight w:val="930"/>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lastRenderedPageBreak/>
              <w:t>项目</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期初数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本期计提</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本期核销</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其他转入及冲销</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期末数</w:t>
            </w:r>
          </w:p>
        </w:tc>
      </w:tr>
      <w:tr w:rsidR="00C70A09" w:rsidRPr="009C5EDA" w:rsidTr="00C70A09">
        <w:trPr>
          <w:trHeight w:val="705"/>
          <w:jc w:val="center"/>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贷款损失准备</w:t>
            </w:r>
          </w:p>
        </w:tc>
        <w:tc>
          <w:tcPr>
            <w:tcW w:w="1300"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18008.54</w:t>
            </w:r>
          </w:p>
        </w:tc>
        <w:tc>
          <w:tcPr>
            <w:tcW w:w="1300"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4671.89</w:t>
            </w:r>
          </w:p>
        </w:tc>
        <w:tc>
          <w:tcPr>
            <w:tcW w:w="1300"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1965.94</w:t>
            </w:r>
          </w:p>
        </w:tc>
        <w:tc>
          <w:tcPr>
            <w:tcW w:w="1300"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970.56</w:t>
            </w:r>
          </w:p>
        </w:tc>
        <w:tc>
          <w:tcPr>
            <w:tcW w:w="1300"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21685.05</w:t>
            </w:r>
          </w:p>
        </w:tc>
      </w:tr>
    </w:tbl>
    <w:p w:rsidR="00C70A09" w:rsidRDefault="00C70A09">
      <w:pPr>
        <w:shd w:val="clear" w:color="auto" w:fill="FFFFFF"/>
        <w:spacing w:line="560" w:lineRule="exact"/>
        <w:ind w:firstLine="627"/>
        <w:rPr>
          <w:rFonts w:ascii="仿宋_GB2312" w:eastAsia="仿宋_GB2312" w:hAnsi="仿宋_GB2312" w:cs="仿宋_GB2312"/>
          <w:color w:val="000000" w:themeColor="text1"/>
          <w:sz w:val="32"/>
          <w:szCs w:val="32"/>
        </w:rPr>
      </w:pPr>
    </w:p>
    <w:p w:rsidR="006D2801" w:rsidRDefault="00C70A09">
      <w:pPr>
        <w:shd w:val="clear" w:color="auto" w:fill="FFFFFF"/>
        <w:spacing w:line="560" w:lineRule="exact"/>
        <w:ind w:firstLine="627"/>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6.5年末对外投资情况</w:t>
      </w:r>
    </w:p>
    <w:p w:rsidR="006D2801" w:rsidRPr="00C70A09" w:rsidRDefault="00C70A09" w:rsidP="00C70A09">
      <w:pPr>
        <w:shd w:val="clear" w:color="auto" w:fill="FFFFFF"/>
        <w:spacing w:line="560" w:lineRule="exac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持有至到期投资</w:t>
      </w:r>
      <w:r>
        <w:rPr>
          <w:rFonts w:ascii="宋体" w:hAnsi="宋体" w:cs="宋体" w:hint="eastAsia"/>
          <w:color w:val="000000" w:themeColor="text1"/>
          <w:sz w:val="32"/>
          <w:szCs w:val="32"/>
        </w:rPr>
        <w:t>       </w:t>
      </w:r>
    </w:p>
    <w:tbl>
      <w:tblPr>
        <w:tblW w:w="8379" w:type="dxa"/>
        <w:tblInd w:w="93" w:type="dxa"/>
        <w:tblLook w:val="04A0"/>
      </w:tblPr>
      <w:tblGrid>
        <w:gridCol w:w="4600"/>
        <w:gridCol w:w="3779"/>
      </w:tblGrid>
      <w:tr w:rsidR="00C70A09" w:rsidRPr="00DA3469" w:rsidTr="00C70A09">
        <w:trPr>
          <w:trHeight w:val="375"/>
          <w:tblHeader/>
        </w:trPr>
        <w:tc>
          <w:tcPr>
            <w:tcW w:w="4600" w:type="dxa"/>
            <w:tcBorders>
              <w:top w:val="nil"/>
              <w:left w:val="nil"/>
              <w:bottom w:val="nil"/>
              <w:right w:val="nil"/>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8"/>
                <w:szCs w:val="28"/>
              </w:rPr>
            </w:pPr>
          </w:p>
        </w:tc>
        <w:tc>
          <w:tcPr>
            <w:tcW w:w="3779" w:type="dxa"/>
            <w:tcBorders>
              <w:top w:val="nil"/>
              <w:left w:val="nil"/>
              <w:bottom w:val="nil"/>
              <w:right w:val="nil"/>
            </w:tcBorders>
            <w:shd w:val="clear" w:color="auto" w:fill="auto"/>
            <w:noWrap/>
            <w:vAlign w:val="center"/>
            <w:hideMark/>
          </w:tcPr>
          <w:p w:rsidR="00C70A09" w:rsidRPr="009C5EDA" w:rsidRDefault="00C70A09" w:rsidP="00C70A09">
            <w:pPr>
              <w:widowControl/>
              <w:jc w:val="right"/>
              <w:rPr>
                <w:rFonts w:ascii="宋体" w:hAnsi="宋体" w:cs="宋体"/>
                <w:color w:val="000000" w:themeColor="text1"/>
                <w:kern w:val="0"/>
                <w:sz w:val="28"/>
                <w:szCs w:val="28"/>
              </w:rPr>
            </w:pPr>
            <w:r w:rsidRPr="009C5EDA">
              <w:rPr>
                <w:rFonts w:ascii="宋体" w:hAnsi="宋体" w:cs="宋体" w:hint="eastAsia"/>
                <w:color w:val="000000" w:themeColor="text1"/>
                <w:kern w:val="0"/>
                <w:sz w:val="28"/>
                <w:szCs w:val="28"/>
              </w:rPr>
              <w:t>单位：人民币(万元)</w:t>
            </w:r>
          </w:p>
        </w:tc>
      </w:tr>
      <w:tr w:rsidR="00C70A09" w:rsidRPr="00DA3469" w:rsidTr="00C70A09">
        <w:trPr>
          <w:trHeight w:val="630"/>
          <w:tblHead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b/>
                <w:bCs/>
                <w:color w:val="000000" w:themeColor="text1"/>
                <w:kern w:val="0"/>
                <w:sz w:val="24"/>
              </w:rPr>
            </w:pPr>
            <w:r w:rsidRPr="009C5EDA">
              <w:rPr>
                <w:rFonts w:ascii="宋体" w:hAnsi="宋体" w:cs="宋体" w:hint="eastAsia"/>
                <w:b/>
                <w:bCs/>
                <w:color w:val="000000" w:themeColor="text1"/>
                <w:kern w:val="0"/>
                <w:sz w:val="24"/>
              </w:rPr>
              <w:t>项 目</w:t>
            </w:r>
          </w:p>
        </w:tc>
        <w:tc>
          <w:tcPr>
            <w:tcW w:w="3779" w:type="dxa"/>
            <w:tcBorders>
              <w:top w:val="single" w:sz="4" w:space="0" w:color="auto"/>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b/>
                <w:bCs/>
                <w:color w:val="000000" w:themeColor="text1"/>
                <w:kern w:val="0"/>
                <w:sz w:val="24"/>
              </w:rPr>
            </w:pPr>
            <w:r w:rsidRPr="009C5EDA">
              <w:rPr>
                <w:rFonts w:ascii="宋体" w:hAnsi="宋体" w:cs="宋体" w:hint="eastAsia"/>
                <w:b/>
                <w:bCs/>
                <w:color w:val="000000" w:themeColor="text1"/>
                <w:kern w:val="0"/>
                <w:sz w:val="24"/>
              </w:rPr>
              <w:t>2023年期末账面余额</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 xml:space="preserve">债  </w:t>
            </w:r>
            <w:proofErr w:type="gramStart"/>
            <w:r w:rsidRPr="009C5EDA">
              <w:rPr>
                <w:rFonts w:ascii="宋体" w:hAnsi="宋体" w:cs="宋体" w:hint="eastAsia"/>
                <w:color w:val="000000" w:themeColor="text1"/>
                <w:kern w:val="0"/>
                <w:sz w:val="24"/>
              </w:rPr>
              <w:t>券</w:t>
            </w:r>
            <w:proofErr w:type="gramEnd"/>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32113.3</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其中：持有至到期商业银行债券</w:t>
            </w:r>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14988.66</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持有至到期地方政府债券</w:t>
            </w:r>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16129.88</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持有至到期地方公用企业债券投资</w:t>
            </w:r>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994.76</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持有至到期其他企业债券投资</w:t>
            </w:r>
          </w:p>
        </w:tc>
        <w:tc>
          <w:tcPr>
            <w:tcW w:w="3779"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0</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持有至到期政策性债券投资</w:t>
            </w:r>
          </w:p>
        </w:tc>
        <w:tc>
          <w:tcPr>
            <w:tcW w:w="3779" w:type="dxa"/>
            <w:tcBorders>
              <w:top w:val="nil"/>
              <w:left w:val="nil"/>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0</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持有至到期投资合计</w:t>
            </w:r>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32113.3</w:t>
            </w:r>
          </w:p>
        </w:tc>
      </w:tr>
      <w:tr w:rsidR="00C70A09" w:rsidRPr="00DA3469" w:rsidTr="00C70A09">
        <w:trPr>
          <w:trHeight w:val="630"/>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持有至到期投资账面价值</w:t>
            </w:r>
          </w:p>
        </w:tc>
        <w:tc>
          <w:tcPr>
            <w:tcW w:w="3779" w:type="dxa"/>
            <w:tcBorders>
              <w:top w:val="nil"/>
              <w:left w:val="nil"/>
              <w:bottom w:val="single" w:sz="4" w:space="0" w:color="auto"/>
              <w:right w:val="single" w:sz="4" w:space="0" w:color="auto"/>
            </w:tcBorders>
            <w:shd w:val="clear" w:color="auto" w:fill="auto"/>
            <w:noWrap/>
            <w:vAlign w:val="center"/>
            <w:hideMark/>
          </w:tcPr>
          <w:p w:rsidR="00C70A09" w:rsidRPr="009C5EDA" w:rsidRDefault="00C70A09" w:rsidP="00C70A09">
            <w:pPr>
              <w:widowControl/>
              <w:jc w:val="center"/>
              <w:rPr>
                <w:rFonts w:ascii="宋体" w:hAnsi="宋体" w:cs="宋体"/>
                <w:color w:val="000000" w:themeColor="text1"/>
                <w:kern w:val="0"/>
                <w:sz w:val="24"/>
              </w:rPr>
            </w:pPr>
            <w:r w:rsidRPr="009C5EDA">
              <w:rPr>
                <w:rFonts w:ascii="宋体" w:hAnsi="宋体" w:cs="宋体" w:hint="eastAsia"/>
                <w:color w:val="000000" w:themeColor="text1"/>
                <w:kern w:val="0"/>
                <w:sz w:val="24"/>
              </w:rPr>
              <w:t>32113.3</w:t>
            </w:r>
          </w:p>
        </w:tc>
      </w:tr>
    </w:tbl>
    <w:p w:rsidR="00C70A09" w:rsidRDefault="00C70A09">
      <w:pPr>
        <w:shd w:val="clear" w:color="auto" w:fill="FFFFFF"/>
        <w:spacing w:line="560" w:lineRule="exact"/>
        <w:ind w:firstLine="627"/>
        <w:rPr>
          <w:rFonts w:ascii="仿宋_GB2312" w:eastAsia="仿宋_GB2312" w:hAnsi="宋体" w:cs="宋体"/>
          <w:bCs/>
          <w:color w:val="000000" w:themeColor="text1"/>
          <w:sz w:val="32"/>
          <w:szCs w:val="32"/>
        </w:rPr>
      </w:pPr>
    </w:p>
    <w:p w:rsidR="006D2801" w:rsidRDefault="00C70A09">
      <w:pPr>
        <w:shd w:val="clear" w:color="auto" w:fill="FFFFFF"/>
        <w:spacing w:line="560" w:lineRule="exact"/>
        <w:ind w:firstLine="627"/>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6.6不良贷款控制效果</w:t>
      </w:r>
    </w:p>
    <w:p w:rsidR="006D2801" w:rsidRDefault="00C70A09">
      <w:pPr>
        <w:shd w:val="clear" w:color="auto" w:fill="FFFFFF"/>
        <w:spacing w:line="560" w:lineRule="exact"/>
        <w:ind w:firstLine="709"/>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2023年，本行紧紧围绕信用风险防控和化解，多策并举狠抓不良</w:t>
      </w:r>
      <w:r w:rsidRPr="00B92B84">
        <w:rPr>
          <w:rFonts w:ascii="仿宋_GB2312" w:eastAsia="仿宋_GB2312" w:hAnsi="宋体" w:cs="宋体" w:hint="eastAsia"/>
          <w:bCs/>
          <w:color w:val="000000" w:themeColor="text1"/>
          <w:sz w:val="32"/>
          <w:szCs w:val="32"/>
        </w:rPr>
        <w:t>贷款清收责任，年末不良贷款余额0.85亿元，比上年上升634万元，不良率3.20%，比上年下降0.05个百分点。</w:t>
      </w:r>
    </w:p>
    <w:p w:rsidR="006D2801" w:rsidRDefault="00C70A09">
      <w:pPr>
        <w:shd w:val="clear" w:color="auto" w:fill="FFFFFF"/>
        <w:spacing w:line="560" w:lineRule="exact"/>
        <w:ind w:firstLine="627"/>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6.7主要表外项目情况</w:t>
      </w:r>
    </w:p>
    <w:p w:rsidR="006D2801" w:rsidRDefault="00C70A09">
      <w:pPr>
        <w:shd w:val="clear" w:color="auto" w:fill="FFFFFF"/>
        <w:spacing w:line="560" w:lineRule="exact"/>
        <w:ind w:firstLineChars="196" w:firstLine="627"/>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我行2023年未开展表外业务。</w:t>
      </w:r>
    </w:p>
    <w:p w:rsidR="006D2801" w:rsidRDefault="00C70A09">
      <w:pPr>
        <w:shd w:val="clear" w:color="auto" w:fill="FFFFFF"/>
        <w:spacing w:line="560" w:lineRule="exact"/>
        <w:ind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lastRenderedPageBreak/>
        <w:t>七、服务“三农”金融业务开展情况</w:t>
      </w:r>
    </w:p>
    <w:p w:rsidR="006D2801" w:rsidRDefault="00C70A09">
      <w:pPr>
        <w:shd w:val="clear" w:color="auto" w:fill="FFFFFF"/>
        <w:spacing w:line="560" w:lineRule="exact"/>
        <w:ind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7.1“三农”业务计划执行情况</w:t>
      </w:r>
    </w:p>
    <w:p w:rsidR="0034677B" w:rsidRPr="0034677B" w:rsidRDefault="0034677B" w:rsidP="0034677B">
      <w:pPr>
        <w:shd w:val="clear" w:color="auto" w:fill="FFFFFF"/>
        <w:spacing w:line="560" w:lineRule="exact"/>
        <w:ind w:left="298" w:firstLine="640"/>
        <w:rPr>
          <w:rFonts w:ascii="仿宋_GB2312" w:eastAsia="仿宋_GB2312" w:hAnsi="宋体" w:cs="宋体"/>
          <w:bCs/>
          <w:color w:val="000000" w:themeColor="text1"/>
          <w:sz w:val="32"/>
          <w:szCs w:val="32"/>
        </w:rPr>
      </w:pPr>
      <w:r w:rsidRPr="0034677B">
        <w:rPr>
          <w:rFonts w:ascii="仿宋_GB2312" w:eastAsia="仿宋_GB2312" w:hAnsi="宋体" w:cs="宋体" w:hint="eastAsia"/>
          <w:bCs/>
          <w:color w:val="000000" w:themeColor="text1"/>
          <w:sz w:val="32"/>
          <w:szCs w:val="32"/>
        </w:rPr>
        <w:t>全面推进客户三年翻番工作，截至2023年末，贷款授信客户15190户，用信客户10968户，客户授信覆盖面44.13%，用信覆盖面31.88%，有效用信率80.37%，分别较2022年末增加1224户、504户、3.55个百分点、1.48个百分点、0.39个百分点。</w:t>
      </w:r>
    </w:p>
    <w:p w:rsidR="006D2801" w:rsidRDefault="00C70A09">
      <w:pPr>
        <w:shd w:val="clear" w:color="auto" w:fill="FFFFFF"/>
        <w:spacing w:line="560" w:lineRule="exact"/>
        <w:ind w:left="298"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7.2“三农”业务开展情况</w:t>
      </w:r>
    </w:p>
    <w:p w:rsidR="006D2801" w:rsidRDefault="00C70A09">
      <w:pPr>
        <w:shd w:val="clear" w:color="auto" w:fill="FFFFFF"/>
        <w:spacing w:line="560" w:lineRule="exact"/>
        <w:ind w:firstLine="709"/>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本行着力加强“三农”业务发展，从公司治理、发展战略、组织架构、业务发展、风险管理、人才队伍、绩效考核等方面建立“三农”金融服务机制，以保障本行持续支持“三农”发展的能力。</w:t>
      </w:r>
    </w:p>
    <w:p w:rsidR="006D2801" w:rsidRDefault="00C70A09">
      <w:pPr>
        <w:shd w:val="clear" w:color="auto" w:fill="FFFFFF"/>
        <w:spacing w:line="560" w:lineRule="exact"/>
        <w:ind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7.21高级管理层高度重视。本行所有持股比例在1%及以上的自然人和所有企业法人股东已</w:t>
      </w:r>
      <w:proofErr w:type="gramStart"/>
      <w:r>
        <w:rPr>
          <w:rFonts w:ascii="仿宋_GB2312" w:eastAsia="仿宋_GB2312" w:hAnsi="宋体" w:cs="宋体" w:hint="eastAsia"/>
          <w:bCs/>
          <w:color w:val="000000" w:themeColor="text1"/>
          <w:sz w:val="32"/>
          <w:szCs w:val="32"/>
        </w:rPr>
        <w:t>作出</w:t>
      </w:r>
      <w:proofErr w:type="gramEnd"/>
      <w:r>
        <w:rPr>
          <w:rFonts w:ascii="仿宋_GB2312" w:eastAsia="仿宋_GB2312" w:hAnsi="宋体" w:cs="宋体" w:hint="eastAsia"/>
          <w:bCs/>
          <w:color w:val="000000" w:themeColor="text1"/>
          <w:sz w:val="32"/>
          <w:szCs w:val="32"/>
        </w:rPr>
        <w:t>在持股期间支持本行加强“三农”金融服务、资金主要用于当地的书面承诺。本行经营管理层以“支农支小”作为市场定位，明确业务发展方向。</w:t>
      </w:r>
    </w:p>
    <w:p w:rsidR="006D2801" w:rsidRDefault="00C70A09">
      <w:pPr>
        <w:shd w:val="clear" w:color="auto" w:fill="FFFFFF"/>
        <w:spacing w:line="560" w:lineRule="exact"/>
        <w:ind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7.22制定了发展战略。铜鼓总面积1551.94平方公里，辖6个镇，3个乡，4个生态公益型林场，本行明确了打造面向“三农”、服务社区的现代金融企业战略目标。完善支农手段，关注农业生产环节的产前、产中和产后的金融需求，在不断优化现有的小额农贷、乡村振兴贷等产品的基础上，继续创新支农新产品，拓宽服务领域。</w:t>
      </w:r>
    </w:p>
    <w:p w:rsidR="006D2801" w:rsidRDefault="00C70A09">
      <w:pPr>
        <w:shd w:val="clear" w:color="auto" w:fill="FFFFFF"/>
        <w:spacing w:line="560" w:lineRule="exact"/>
        <w:ind w:firstLine="640"/>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7.23</w:t>
      </w:r>
      <w:r w:rsidR="0034677B">
        <w:rPr>
          <w:rFonts w:ascii="仿宋_GB2312" w:eastAsia="仿宋_GB2312" w:hAnsi="宋体" w:cs="宋体" w:hint="eastAsia"/>
          <w:bCs/>
          <w:color w:val="000000" w:themeColor="text1"/>
          <w:sz w:val="32"/>
          <w:szCs w:val="32"/>
        </w:rPr>
        <w:t xml:space="preserve"> </w:t>
      </w:r>
      <w:r w:rsidR="0034677B" w:rsidRPr="00277695">
        <w:rPr>
          <w:rFonts w:ascii="仿宋_GB2312" w:eastAsia="仿宋_GB2312" w:hAnsi="宋体" w:cs="宋体" w:hint="eastAsia"/>
          <w:bCs/>
          <w:color w:val="000000" w:themeColor="text1"/>
          <w:sz w:val="32"/>
          <w:szCs w:val="32"/>
        </w:rPr>
        <w:t>完善了组织架构。建立符合本行发展目标的“三农”金融服务组织体系。一是成立了“三农”金融服务委员会。委</w:t>
      </w:r>
      <w:r w:rsidR="0034677B" w:rsidRPr="00277695">
        <w:rPr>
          <w:rFonts w:ascii="仿宋_GB2312" w:eastAsia="仿宋_GB2312" w:hAnsi="宋体" w:cs="宋体" w:hint="eastAsia"/>
          <w:bCs/>
          <w:color w:val="000000" w:themeColor="text1"/>
          <w:sz w:val="32"/>
          <w:szCs w:val="32"/>
        </w:rPr>
        <w:lastRenderedPageBreak/>
        <w:t>员会成员都具有丰富的“三农”工作经验，在董事会领导下开展工作，负责“三农”业务的规划管理。二是完善“三农”业务制度和授权。在有效控制风险及满足监管要求的前提下，建立了标准化业务制度，单独设立涉农信贷计划、授予贷款审批权限，减少中间环节，缩短</w:t>
      </w:r>
      <w:proofErr w:type="gramStart"/>
      <w:r w:rsidR="0034677B" w:rsidRPr="00277695">
        <w:rPr>
          <w:rFonts w:ascii="仿宋_GB2312" w:eastAsia="仿宋_GB2312" w:hAnsi="宋体" w:cs="宋体" w:hint="eastAsia"/>
          <w:bCs/>
          <w:color w:val="000000" w:themeColor="text1"/>
          <w:sz w:val="32"/>
          <w:szCs w:val="32"/>
        </w:rPr>
        <w:t>办贷</w:t>
      </w:r>
      <w:proofErr w:type="gramEnd"/>
      <w:r w:rsidR="0034677B" w:rsidRPr="00277695">
        <w:rPr>
          <w:rFonts w:ascii="仿宋_GB2312" w:eastAsia="仿宋_GB2312" w:hAnsi="宋体" w:cs="宋体" w:hint="eastAsia"/>
          <w:bCs/>
          <w:color w:val="000000" w:themeColor="text1"/>
          <w:sz w:val="32"/>
          <w:szCs w:val="32"/>
        </w:rPr>
        <w:t>时间。</w:t>
      </w:r>
      <w:r w:rsidR="0034677B" w:rsidRPr="0034677B">
        <w:rPr>
          <w:rFonts w:ascii="仿宋_GB2312" w:eastAsia="仿宋_GB2312" w:hAnsi="宋体" w:cs="宋体" w:hint="eastAsia"/>
          <w:bCs/>
          <w:color w:val="000000" w:themeColor="text1"/>
          <w:sz w:val="32"/>
          <w:szCs w:val="32"/>
        </w:rPr>
        <w:t>专设普惠金融部，对30万元（含）以下的贷款，由普惠金融部独立审批</w:t>
      </w:r>
      <w:proofErr w:type="gramStart"/>
      <w:r w:rsidR="0034677B" w:rsidRPr="0034677B">
        <w:rPr>
          <w:rFonts w:ascii="仿宋_GB2312" w:eastAsia="仿宋_GB2312" w:hAnsi="宋体" w:cs="宋体" w:hint="eastAsia"/>
          <w:bCs/>
          <w:color w:val="000000" w:themeColor="text1"/>
          <w:sz w:val="32"/>
          <w:szCs w:val="32"/>
        </w:rPr>
        <w:t>官直接</w:t>
      </w:r>
      <w:proofErr w:type="gramEnd"/>
      <w:r w:rsidR="0034677B" w:rsidRPr="0034677B">
        <w:rPr>
          <w:rFonts w:ascii="仿宋_GB2312" w:eastAsia="仿宋_GB2312" w:hAnsi="宋体" w:cs="宋体" w:hint="eastAsia"/>
          <w:bCs/>
          <w:color w:val="000000" w:themeColor="text1"/>
          <w:sz w:val="32"/>
          <w:szCs w:val="32"/>
        </w:rPr>
        <w:t>审批发放，</w:t>
      </w:r>
      <w:r w:rsidR="0034677B" w:rsidRPr="00277695">
        <w:rPr>
          <w:rFonts w:ascii="仿宋_GB2312" w:eastAsia="仿宋_GB2312" w:hAnsi="宋体" w:cs="宋体" w:hint="eastAsia"/>
          <w:bCs/>
          <w:color w:val="000000" w:themeColor="text1"/>
          <w:sz w:val="32"/>
          <w:szCs w:val="32"/>
        </w:rPr>
        <w:t>精简信贷文本，缩短审批流程，实行限时</w:t>
      </w:r>
      <w:proofErr w:type="gramStart"/>
      <w:r w:rsidR="0034677B" w:rsidRPr="00277695">
        <w:rPr>
          <w:rFonts w:ascii="仿宋_GB2312" w:eastAsia="仿宋_GB2312" w:hAnsi="宋体" w:cs="宋体" w:hint="eastAsia"/>
          <w:bCs/>
          <w:color w:val="000000" w:themeColor="text1"/>
          <w:sz w:val="32"/>
          <w:szCs w:val="32"/>
        </w:rPr>
        <w:t>办贷</w:t>
      </w:r>
      <w:proofErr w:type="gramEnd"/>
      <w:r w:rsidR="0034677B" w:rsidRPr="00277695">
        <w:rPr>
          <w:rFonts w:ascii="仿宋_GB2312" w:eastAsia="仿宋_GB2312" w:hAnsi="宋体" w:cs="宋体" w:hint="eastAsia"/>
          <w:bCs/>
          <w:color w:val="000000" w:themeColor="text1"/>
          <w:sz w:val="32"/>
          <w:szCs w:val="32"/>
        </w:rPr>
        <w:t>制度，要求小额农户贷款2天内必须完成申请到发放，持续提高“三农”金融服务质效。</w:t>
      </w:r>
    </w:p>
    <w:p w:rsidR="006D2801" w:rsidRPr="0034677B" w:rsidRDefault="00C70A09" w:rsidP="0034677B">
      <w:pPr>
        <w:shd w:val="clear" w:color="auto" w:fill="FFFFFF"/>
        <w:spacing w:line="560" w:lineRule="exact"/>
        <w:ind w:firstLine="851"/>
        <w:rPr>
          <w:rFonts w:ascii="仿宋_GB2312" w:eastAsia="仿宋_GB2312" w:hAnsi="宋体" w:cs="宋体"/>
          <w:bCs/>
          <w:color w:val="000000" w:themeColor="text1"/>
          <w:sz w:val="32"/>
          <w:szCs w:val="32"/>
        </w:rPr>
      </w:pPr>
      <w:r>
        <w:rPr>
          <w:rFonts w:ascii="仿宋_GB2312" w:eastAsia="仿宋_GB2312" w:hAnsi="宋体" w:cs="宋体" w:hint="eastAsia"/>
          <w:bCs/>
          <w:color w:val="000000" w:themeColor="text1"/>
          <w:sz w:val="32"/>
          <w:szCs w:val="32"/>
        </w:rPr>
        <w:t>7.24</w:t>
      </w:r>
      <w:r w:rsidR="0034677B" w:rsidRPr="00277695">
        <w:rPr>
          <w:rFonts w:ascii="仿宋_GB2312" w:eastAsia="仿宋_GB2312" w:hAnsi="宋体" w:cs="宋体" w:hint="eastAsia"/>
          <w:bCs/>
          <w:color w:val="000000" w:themeColor="text1"/>
          <w:sz w:val="32"/>
          <w:szCs w:val="32"/>
        </w:rPr>
        <w:t>加快了业务发展。本行认真落实“三农”发展战略，通过单列“三农”业务信贷计划，合理配置客户经理，创新信贷产品，全面支持实现“三农”金融业务发展目标。一是新增存款主要用于当地发放贷款。本行2023年底存款余额29.10亿元，较年初增长2.63亿元，增幅9.92%，新增存款100%以上用于当地贷款投放。面对支持“三农”经济发展资金短缺的实际，积极争取人民银行再贷款用于壮大支农资金实力。二是加大重点产业支持。结合铜鼓生态旅游的定位，逐步加大对旅游、绿色农业、休闲农庄等相关产业支持力度，重点发放小额农户贷款、小微商户</w:t>
      </w:r>
      <w:r w:rsidR="0034677B">
        <w:rPr>
          <w:rFonts w:ascii="仿宋_GB2312" w:eastAsia="仿宋_GB2312" w:hAnsi="宋体" w:cs="宋体" w:hint="eastAsia"/>
          <w:bCs/>
          <w:color w:val="000000" w:themeColor="text1"/>
          <w:sz w:val="32"/>
          <w:szCs w:val="32"/>
        </w:rPr>
        <w:t>、个人</w:t>
      </w:r>
      <w:r w:rsidR="0034677B" w:rsidRPr="00277695">
        <w:rPr>
          <w:rFonts w:ascii="仿宋_GB2312" w:eastAsia="仿宋_GB2312" w:hAnsi="宋体" w:cs="宋体" w:hint="eastAsia"/>
          <w:bCs/>
          <w:color w:val="000000" w:themeColor="text1"/>
          <w:sz w:val="32"/>
          <w:szCs w:val="32"/>
        </w:rPr>
        <w:t>消费贷款等，结合我行“流水贷”“小微商户贷”等信贷产品，进一步丰富我行金融支持三农的手段。三是加大产品创新力度。我行坚持客户为中心，把来源于基层的需求和“三农”的难题作为产品创新的源泉，</w:t>
      </w:r>
      <w:r w:rsidR="0034677B" w:rsidRPr="0034677B">
        <w:rPr>
          <w:rFonts w:ascii="仿宋_GB2312" w:eastAsia="仿宋_GB2312" w:hAnsi="宋体" w:cs="宋体" w:hint="eastAsia"/>
          <w:bCs/>
          <w:color w:val="000000" w:themeColor="text1"/>
          <w:sz w:val="32"/>
          <w:szCs w:val="32"/>
        </w:rPr>
        <w:t>结合当前安置房交付期，特推出“安置贷”满足客户装修资金需求。四是扎实推进“一大工程三项行动”，将农区乡村振兴整村授</w:t>
      </w:r>
      <w:r w:rsidR="0034677B" w:rsidRPr="0034677B">
        <w:rPr>
          <w:rFonts w:ascii="仿宋_GB2312" w:eastAsia="仿宋_GB2312" w:hAnsi="宋体" w:cs="宋体" w:hint="eastAsia"/>
          <w:bCs/>
          <w:color w:val="000000" w:themeColor="text1"/>
          <w:sz w:val="32"/>
          <w:szCs w:val="32"/>
        </w:rPr>
        <w:lastRenderedPageBreak/>
        <w:t>信，城区支小支微普惠授信，普惠金融万里行工作落到实处，全面提升我行贷款客户覆盖面、用信面。</w:t>
      </w:r>
    </w:p>
    <w:p w:rsidR="006D2801" w:rsidRDefault="00C70A09">
      <w:pPr>
        <w:shd w:val="clear" w:color="auto" w:fill="FFFFFF"/>
        <w:spacing w:line="560" w:lineRule="exact"/>
        <w:ind w:firstLine="709"/>
        <w:rPr>
          <w:rFonts w:ascii="黑体" w:eastAsia="黑体" w:hAnsi="黑体" w:cs="宋体"/>
          <w:bCs/>
          <w:color w:val="000000" w:themeColor="text1"/>
          <w:sz w:val="32"/>
          <w:szCs w:val="32"/>
        </w:rPr>
      </w:pPr>
      <w:r>
        <w:rPr>
          <w:rFonts w:ascii="仿宋_GB2312" w:eastAsia="仿宋_GB2312" w:hAnsi="宋体" w:cs="宋体" w:hint="eastAsia"/>
          <w:bCs/>
          <w:color w:val="000000" w:themeColor="text1"/>
          <w:sz w:val="32"/>
          <w:szCs w:val="32"/>
        </w:rPr>
        <w:t>7.25 加强了风险管理，严格涉农贷款风险率。</w:t>
      </w:r>
      <w:r>
        <w:rPr>
          <w:rFonts w:ascii="仿宋_GB2312" w:eastAsia="仿宋_GB2312" w:hint="eastAsia"/>
          <w:color w:val="000000" w:themeColor="text1"/>
          <w:sz w:val="32"/>
          <w:szCs w:val="32"/>
        </w:rPr>
        <w:t>一是加强对新增贷款风险管理和存量贷款风险化解的考核力度，实行全面绩效管理，充分调动员工的主观能动性；二是在不良贷款核销、置换之前严格按照省联社贷款尽职免责管理办法对相关责任人进行责任认定，对负有责任的责任人进行责任追究；三是对新增贷款出现风险的发放</w:t>
      </w:r>
      <w:r>
        <w:rPr>
          <w:rFonts w:ascii="仿宋_GB2312" w:eastAsia="仿宋_GB2312"/>
          <w:color w:val="000000" w:themeColor="text1"/>
          <w:sz w:val="32"/>
          <w:szCs w:val="32"/>
        </w:rPr>
        <w:t>全流程相关责任人</w:t>
      </w:r>
      <w:r>
        <w:rPr>
          <w:rFonts w:ascii="仿宋_GB2312" w:eastAsia="仿宋_GB2312" w:hint="eastAsia"/>
          <w:color w:val="000000" w:themeColor="text1"/>
          <w:sz w:val="32"/>
          <w:szCs w:val="32"/>
        </w:rPr>
        <w:t>、管理责任人在进行责任认定后进行责任追究。</w:t>
      </w:r>
    </w:p>
    <w:p w:rsidR="009E5B2E" w:rsidRDefault="00C70A09"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7.26 扎实推进普惠金融。一是优化服务机制。简化</w:t>
      </w:r>
      <w:proofErr w:type="gramStart"/>
      <w:r>
        <w:rPr>
          <w:rFonts w:ascii="仿宋_GB2312" w:eastAsia="仿宋_GB2312" w:hint="eastAsia"/>
          <w:color w:val="000000" w:themeColor="text1"/>
          <w:sz w:val="32"/>
          <w:szCs w:val="32"/>
        </w:rPr>
        <w:t>办贷</w:t>
      </w:r>
      <w:proofErr w:type="gramEnd"/>
      <w:r>
        <w:rPr>
          <w:rFonts w:ascii="仿宋_GB2312" w:eastAsia="仿宋_GB2312" w:hint="eastAsia"/>
          <w:color w:val="000000" w:themeColor="text1"/>
          <w:sz w:val="32"/>
          <w:szCs w:val="32"/>
        </w:rPr>
        <w:t>手续，落实</w:t>
      </w:r>
      <w:proofErr w:type="gramStart"/>
      <w:r>
        <w:rPr>
          <w:rFonts w:ascii="仿宋_GB2312" w:eastAsia="仿宋_GB2312" w:hint="eastAsia"/>
          <w:color w:val="000000" w:themeColor="text1"/>
          <w:sz w:val="32"/>
          <w:szCs w:val="32"/>
        </w:rPr>
        <w:t>客户单签政策</w:t>
      </w:r>
      <w:proofErr w:type="gramEnd"/>
      <w:r>
        <w:rPr>
          <w:rFonts w:ascii="仿宋_GB2312" w:eastAsia="仿宋_GB2312" w:hint="eastAsia"/>
          <w:color w:val="000000" w:themeColor="text1"/>
          <w:sz w:val="32"/>
          <w:szCs w:val="32"/>
        </w:rPr>
        <w:t>；积极推行减费让利，对“专精特新”中小企业、高新科技技术企业给予优惠利率；主动协调县创业中心，积极引导企业申办贴息贷款；加大</w:t>
      </w:r>
      <w:proofErr w:type="gramStart"/>
      <w:r>
        <w:rPr>
          <w:rFonts w:ascii="仿宋_GB2312" w:eastAsia="仿宋_GB2312" w:hint="eastAsia"/>
          <w:color w:val="000000" w:themeColor="text1"/>
          <w:sz w:val="32"/>
          <w:szCs w:val="32"/>
        </w:rPr>
        <w:t>推广线</w:t>
      </w:r>
      <w:proofErr w:type="gramEnd"/>
      <w:r>
        <w:rPr>
          <w:rFonts w:ascii="仿宋_GB2312" w:eastAsia="仿宋_GB2312" w:hint="eastAsia"/>
          <w:color w:val="000000" w:themeColor="text1"/>
          <w:sz w:val="32"/>
          <w:szCs w:val="32"/>
        </w:rPr>
        <w:t>上产品，奖励“百福钉”APP</w:t>
      </w:r>
      <w:proofErr w:type="gramStart"/>
      <w:r>
        <w:rPr>
          <w:rFonts w:ascii="仿宋_GB2312" w:eastAsia="仿宋_GB2312" w:hint="eastAsia"/>
          <w:color w:val="000000" w:themeColor="text1"/>
          <w:sz w:val="32"/>
          <w:szCs w:val="32"/>
        </w:rPr>
        <w:t>办贷</w:t>
      </w:r>
      <w:proofErr w:type="gramEnd"/>
      <w:r>
        <w:rPr>
          <w:rFonts w:ascii="仿宋_GB2312" w:eastAsia="仿宋_GB2312" w:hint="eastAsia"/>
          <w:color w:val="000000" w:themeColor="text1"/>
          <w:sz w:val="32"/>
          <w:szCs w:val="32"/>
        </w:rPr>
        <w:t>，及时对接客户融资需求。截至2023年末，线</w:t>
      </w:r>
      <w:proofErr w:type="gramStart"/>
      <w:r>
        <w:rPr>
          <w:rFonts w:ascii="仿宋_GB2312" w:eastAsia="仿宋_GB2312" w:hint="eastAsia"/>
          <w:color w:val="000000" w:themeColor="text1"/>
          <w:sz w:val="32"/>
          <w:szCs w:val="32"/>
        </w:rPr>
        <w:t>上贷款授信</w:t>
      </w:r>
      <w:proofErr w:type="gramEnd"/>
      <w:r>
        <w:rPr>
          <w:rFonts w:ascii="仿宋_GB2312" w:eastAsia="仿宋_GB2312" w:hint="eastAsia"/>
          <w:color w:val="000000" w:themeColor="text1"/>
          <w:sz w:val="32"/>
          <w:szCs w:val="32"/>
        </w:rPr>
        <w:t>客户2615户，占比17.44%。二是优化营销手段。制定每日电话营销、每</w:t>
      </w:r>
      <w:proofErr w:type="gramStart"/>
      <w:r>
        <w:rPr>
          <w:rFonts w:ascii="仿宋_GB2312" w:eastAsia="仿宋_GB2312" w:hint="eastAsia"/>
          <w:color w:val="000000" w:themeColor="text1"/>
          <w:sz w:val="32"/>
          <w:szCs w:val="32"/>
        </w:rPr>
        <w:t>周夜扫</w:t>
      </w:r>
      <w:proofErr w:type="gramEnd"/>
      <w:r>
        <w:rPr>
          <w:rFonts w:ascii="仿宋_GB2312" w:eastAsia="仿宋_GB2312" w:hint="eastAsia"/>
          <w:color w:val="000000" w:themeColor="text1"/>
          <w:sz w:val="32"/>
          <w:szCs w:val="32"/>
        </w:rPr>
        <w:t>、每月小型对接会、每季金融夜校、常态</w:t>
      </w:r>
      <w:proofErr w:type="gramStart"/>
      <w:r>
        <w:rPr>
          <w:rFonts w:ascii="仿宋_GB2312" w:eastAsia="仿宋_GB2312" w:hint="eastAsia"/>
          <w:color w:val="000000" w:themeColor="text1"/>
          <w:sz w:val="32"/>
          <w:szCs w:val="32"/>
        </w:rPr>
        <w:t>化开展</w:t>
      </w:r>
      <w:proofErr w:type="gramEnd"/>
      <w:r>
        <w:rPr>
          <w:rFonts w:ascii="仿宋_GB2312" w:eastAsia="仿宋_GB2312" w:hint="eastAsia"/>
          <w:color w:val="000000" w:themeColor="text1"/>
          <w:sz w:val="32"/>
          <w:szCs w:val="32"/>
        </w:rPr>
        <w:t>金融万里行外拓的营销机制，不断扩大营销覆盖面。2023年电话对接客户16030户，授信897户，通过外拓营销客户112户，授</w:t>
      </w:r>
      <w:proofErr w:type="gramStart"/>
      <w:r>
        <w:rPr>
          <w:rFonts w:ascii="仿宋_GB2312" w:eastAsia="仿宋_GB2312" w:hint="eastAsia"/>
          <w:color w:val="000000" w:themeColor="text1"/>
          <w:sz w:val="32"/>
          <w:szCs w:val="32"/>
        </w:rPr>
        <w:t>信金额</w:t>
      </w:r>
      <w:proofErr w:type="gramEnd"/>
      <w:r>
        <w:rPr>
          <w:rFonts w:ascii="仿宋_GB2312" w:eastAsia="仿宋_GB2312" w:hint="eastAsia"/>
          <w:color w:val="000000" w:themeColor="text1"/>
          <w:sz w:val="32"/>
          <w:szCs w:val="32"/>
        </w:rPr>
        <w:t>5380万元。三是优化客户拓展机制。建立了“三资平台、近三年流失客户、乡镇商会、工商登记个体户、整村授信白名单、辖内年纳税5万元及以上企业名单”等六大数据库，梳理导入8.3万条客户信息，同时结合每季匹配存量客户数据，常态化开展“找回流失客户、唤醒睡眠客户、培育潜在客户、存量提额、反掐尖、全员营销”等六项工作。</w:t>
      </w:r>
      <w:r>
        <w:rPr>
          <w:rFonts w:ascii="仿宋_GB2312" w:eastAsia="仿宋_GB2312" w:hint="eastAsia"/>
          <w:color w:val="000000" w:themeColor="text1"/>
          <w:sz w:val="32"/>
          <w:szCs w:val="32"/>
        </w:rPr>
        <w:lastRenderedPageBreak/>
        <w:t>截至2023年末，共找回流失客户732户，找回率17.32%；共唤醒授信未用信客户685户，唤醒率18.92%；</w:t>
      </w:r>
      <w:proofErr w:type="gramStart"/>
      <w:r>
        <w:rPr>
          <w:rFonts w:ascii="仿宋_GB2312" w:eastAsia="仿宋_GB2312" w:hint="eastAsia"/>
          <w:color w:val="000000" w:themeColor="text1"/>
          <w:sz w:val="32"/>
          <w:szCs w:val="32"/>
        </w:rPr>
        <w:t>培育互金潜在</w:t>
      </w:r>
      <w:proofErr w:type="gramEnd"/>
      <w:r>
        <w:rPr>
          <w:rFonts w:ascii="仿宋_GB2312" w:eastAsia="仿宋_GB2312" w:hint="eastAsia"/>
          <w:color w:val="000000" w:themeColor="text1"/>
          <w:sz w:val="32"/>
          <w:szCs w:val="32"/>
        </w:rPr>
        <w:t>客户133户，培育率8.87%；</w:t>
      </w:r>
      <w:proofErr w:type="gramStart"/>
      <w:r>
        <w:rPr>
          <w:rFonts w:ascii="仿宋_GB2312" w:eastAsia="仿宋_GB2312" w:hint="eastAsia"/>
          <w:color w:val="000000" w:themeColor="text1"/>
          <w:sz w:val="32"/>
          <w:szCs w:val="32"/>
        </w:rPr>
        <w:t>提额637户</w:t>
      </w:r>
      <w:proofErr w:type="gramEnd"/>
      <w:r>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提额率</w:t>
      </w:r>
      <w:proofErr w:type="gramEnd"/>
      <w:r>
        <w:rPr>
          <w:rFonts w:ascii="仿宋_GB2312" w:eastAsia="仿宋_GB2312" w:hint="eastAsia"/>
          <w:color w:val="000000" w:themeColor="text1"/>
          <w:sz w:val="32"/>
          <w:szCs w:val="32"/>
        </w:rPr>
        <w:t>5.67%；反掐尖56户。</w:t>
      </w:r>
    </w:p>
    <w:p w:rsidR="009E5B2E" w:rsidRPr="009E5B2E"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9E5B2E">
        <w:rPr>
          <w:rFonts w:ascii="仿宋_GB2312" w:eastAsia="仿宋_GB2312" w:hint="eastAsia"/>
          <w:sz w:val="32"/>
          <w:szCs w:val="32"/>
        </w:rPr>
        <w:t>7.27 做好移动支付便民工程建设和推广工作。</w:t>
      </w:r>
      <w:proofErr w:type="gramStart"/>
      <w:r w:rsidRPr="009E5B2E">
        <w:rPr>
          <w:rFonts w:ascii="仿宋_GB2312" w:eastAsia="仿宋_GB2312" w:hAnsi="楷体_GB2312" w:cs="楷体_GB2312" w:hint="eastAsia"/>
          <w:bCs/>
          <w:sz w:val="32"/>
          <w:szCs w:val="32"/>
        </w:rPr>
        <w:t>践行</w:t>
      </w:r>
      <w:proofErr w:type="gramEnd"/>
      <w:r w:rsidRPr="009E5B2E">
        <w:rPr>
          <w:rFonts w:ascii="仿宋_GB2312" w:eastAsia="仿宋_GB2312" w:hAnsi="楷体_GB2312" w:cs="楷体_GB2312" w:hint="eastAsia"/>
          <w:bCs/>
          <w:sz w:val="32"/>
          <w:szCs w:val="32"/>
        </w:rPr>
        <w:t>“支付为民”理念，围绕“便民、利民、惠民”的服务宗旨，致力为城乡居民提供同质化、均等化移动支付金融服务。主要是</w:t>
      </w:r>
      <w:r w:rsidRPr="009E5B2E">
        <w:rPr>
          <w:rFonts w:ascii="仿宋_GB2312" w:eastAsia="仿宋_GB2312" w:hAnsi="仿宋_GB2312" w:cs="仿宋_GB2312" w:hint="eastAsia"/>
          <w:sz w:val="32"/>
          <w:szCs w:val="32"/>
        </w:rPr>
        <w:t>完善移动支付便民工程方案，结合百福通聚合支付、手机银行等线上支付和“云闪付”开展综合性金融产品营销活动；</w:t>
      </w:r>
      <w:r w:rsidRPr="009E5B2E">
        <w:rPr>
          <w:rFonts w:ascii="仿宋_GB2312" w:eastAsia="仿宋_GB2312" w:hAnsi="华文细黑" w:cs="黑体"/>
          <w:sz w:val="32"/>
          <w:szCs w:val="32"/>
        </w:rPr>
        <w:t>结合</w:t>
      </w:r>
      <w:r w:rsidRPr="009E5B2E">
        <w:rPr>
          <w:rFonts w:ascii="仿宋_GB2312" w:eastAsia="仿宋_GB2312" w:hAnsi="华文细黑" w:cs="黑体" w:hint="eastAsia"/>
          <w:sz w:val="32"/>
          <w:szCs w:val="32"/>
        </w:rPr>
        <w:t>“四定五进”、金融夜校、金融知识下乡等活动，以“站</w:t>
      </w:r>
      <w:r w:rsidRPr="009E5B2E">
        <w:rPr>
          <w:rFonts w:ascii="仿宋_GB2312" w:eastAsia="仿宋_GB2312" w:hAnsi="华文细黑" w:cs="黑体"/>
          <w:sz w:val="32"/>
          <w:szCs w:val="32"/>
        </w:rPr>
        <w:t>+点</w:t>
      </w:r>
      <w:r w:rsidRPr="009E5B2E">
        <w:rPr>
          <w:rFonts w:ascii="仿宋_GB2312" w:eastAsia="仿宋_GB2312" w:hAnsi="华文细黑" w:cs="黑体"/>
          <w:sz w:val="32"/>
          <w:szCs w:val="32"/>
        </w:rPr>
        <w:t>”</w:t>
      </w:r>
      <w:r w:rsidRPr="009E5B2E">
        <w:rPr>
          <w:rFonts w:ascii="仿宋_GB2312" w:eastAsia="仿宋_GB2312" w:hAnsi="华文细黑" w:cs="黑体" w:hint="eastAsia"/>
          <w:sz w:val="32"/>
          <w:szCs w:val="32"/>
        </w:rPr>
        <w:t>、“知识</w:t>
      </w:r>
      <w:r w:rsidRPr="009E5B2E">
        <w:rPr>
          <w:rFonts w:ascii="仿宋_GB2312" w:eastAsia="仿宋_GB2312" w:hAnsi="华文细黑" w:cs="黑体"/>
          <w:sz w:val="32"/>
          <w:szCs w:val="32"/>
        </w:rPr>
        <w:t>+服务</w:t>
      </w:r>
      <w:r w:rsidRPr="009E5B2E">
        <w:rPr>
          <w:rFonts w:ascii="仿宋_GB2312" w:eastAsia="仿宋_GB2312" w:hAnsi="华文细黑" w:cs="黑体"/>
          <w:sz w:val="32"/>
          <w:szCs w:val="32"/>
        </w:rPr>
        <w:t>”</w:t>
      </w:r>
      <w:r w:rsidRPr="009E5B2E">
        <w:rPr>
          <w:rFonts w:ascii="仿宋_GB2312" w:eastAsia="仿宋_GB2312" w:hAnsi="华文细黑" w:cs="黑体"/>
          <w:sz w:val="32"/>
          <w:szCs w:val="32"/>
        </w:rPr>
        <w:t>的模式，实现</w:t>
      </w:r>
      <w:r w:rsidRPr="009E5B2E">
        <w:rPr>
          <w:rFonts w:ascii="仿宋_GB2312" w:eastAsia="仿宋_GB2312" w:hAnsi="华文细黑" w:cs="黑体" w:hint="eastAsia"/>
          <w:sz w:val="32"/>
          <w:szCs w:val="32"/>
        </w:rPr>
        <w:t>宣传推广常态化；</w:t>
      </w:r>
      <w:r w:rsidRPr="009E5B2E">
        <w:rPr>
          <w:rFonts w:ascii="仿宋_GB2312" w:eastAsia="仿宋_GB2312" w:hAnsi="华文细黑" w:cs="黑体"/>
          <w:sz w:val="32"/>
          <w:szCs w:val="32"/>
        </w:rPr>
        <w:t>组建了</w:t>
      </w:r>
      <w:r w:rsidRPr="009E5B2E">
        <w:rPr>
          <w:rFonts w:ascii="仿宋_GB2312" w:eastAsia="仿宋_GB2312" w:hAnsi="华文细黑" w:cs="黑体" w:hint="eastAsia"/>
          <w:sz w:val="32"/>
          <w:szCs w:val="32"/>
        </w:rPr>
        <w:t>外拓</w:t>
      </w:r>
      <w:r w:rsidRPr="009E5B2E">
        <w:rPr>
          <w:rFonts w:ascii="仿宋_GB2312" w:eastAsia="仿宋_GB2312" w:hAnsi="华文细黑" w:cs="黑体"/>
          <w:sz w:val="32"/>
          <w:szCs w:val="32"/>
        </w:rPr>
        <w:t>服务队，携带</w:t>
      </w:r>
      <w:r w:rsidRPr="009E5B2E">
        <w:rPr>
          <w:rFonts w:ascii="仿宋_GB2312" w:eastAsia="仿宋_GB2312" w:hAnsi="华文细黑" w:cs="黑体" w:hint="eastAsia"/>
          <w:sz w:val="32"/>
          <w:szCs w:val="32"/>
        </w:rPr>
        <w:t>宣传材料</w:t>
      </w:r>
      <w:r w:rsidRPr="009E5B2E">
        <w:rPr>
          <w:rFonts w:ascii="仿宋_GB2312" w:eastAsia="仿宋_GB2312" w:hAnsi="华文细黑" w:cs="黑体"/>
          <w:sz w:val="32"/>
          <w:szCs w:val="32"/>
        </w:rPr>
        <w:t>进企业、进单位、进村庄、进社区、进市场开展专项</w:t>
      </w:r>
      <w:r w:rsidRPr="009E5B2E">
        <w:rPr>
          <w:rFonts w:ascii="仿宋_GB2312" w:eastAsia="仿宋_GB2312" w:hAnsi="华文细黑" w:cs="黑体" w:hint="eastAsia"/>
          <w:sz w:val="32"/>
          <w:szCs w:val="32"/>
        </w:rPr>
        <w:t>宣传。提升老年人移动支付便民服务举措，针对老年人加大了金融知识宣传力度，提升老年人的防范意识；通过网点大堂经理正确引导老年人在智能柜台办理社保卡激活、改密、查询等支付结算业务；针对年龄较大、行动不便等特殊老年人群体，在风险可控前提下，</w:t>
      </w:r>
      <w:r w:rsidRPr="009E5B2E">
        <w:rPr>
          <w:rFonts w:ascii="仿宋_GB2312" w:eastAsia="仿宋_GB2312" w:hAnsi="华文细黑" w:cs="黑体"/>
          <w:sz w:val="32"/>
          <w:szCs w:val="32"/>
        </w:rPr>
        <w:t>灵活采取远程视频</w:t>
      </w:r>
      <w:r w:rsidRPr="009E5B2E">
        <w:rPr>
          <w:rFonts w:ascii="仿宋_GB2312" w:eastAsia="仿宋_GB2312" w:hAnsi="华文细黑" w:cs="黑体" w:hint="eastAsia"/>
          <w:sz w:val="32"/>
          <w:szCs w:val="32"/>
        </w:rPr>
        <w:t>、</w:t>
      </w:r>
      <w:r w:rsidRPr="009E5B2E">
        <w:rPr>
          <w:rFonts w:ascii="仿宋_GB2312" w:eastAsia="仿宋_GB2312" w:hAnsi="华文细黑" w:cs="黑体"/>
          <w:sz w:val="32"/>
          <w:szCs w:val="32"/>
        </w:rPr>
        <w:t>上门服务的方式</w:t>
      </w:r>
      <w:r w:rsidRPr="009E5B2E">
        <w:rPr>
          <w:rFonts w:ascii="仿宋_GB2312" w:eastAsia="仿宋_GB2312" w:hAnsi="华文细黑" w:cs="黑体" w:hint="eastAsia"/>
          <w:sz w:val="32"/>
          <w:szCs w:val="32"/>
        </w:rPr>
        <w:t>为老年人客户解决金融需求问题。</w:t>
      </w:r>
      <w:r>
        <w:rPr>
          <w:rFonts w:ascii="仿宋_GB2312" w:eastAsia="仿宋_GB2312" w:hAnsi="华文细黑" w:cs="黑体" w:hint="eastAsia"/>
          <w:sz w:val="32"/>
          <w:szCs w:val="32"/>
        </w:rPr>
        <w:t xml:space="preserve">  </w:t>
      </w:r>
    </w:p>
    <w:p w:rsidR="009E5B2E" w:rsidRDefault="00C70A09" w:rsidP="009E5B2E">
      <w:pPr>
        <w:pBdr>
          <w:bottom w:val="single" w:sz="4" w:space="31" w:color="FFFFFF"/>
        </w:pBdr>
        <w:autoSpaceDE w:val="0"/>
        <w:autoSpaceDN w:val="0"/>
        <w:adjustRightInd w:val="0"/>
        <w:snapToGrid w:val="0"/>
        <w:spacing w:line="560" w:lineRule="exact"/>
        <w:ind w:firstLineChars="200" w:firstLine="640"/>
        <w:contextualSpacing/>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7.28 进</w:t>
      </w:r>
      <w:r>
        <w:rPr>
          <w:rFonts w:ascii="仿宋_GB2312" w:eastAsia="仿宋_GB2312" w:hint="eastAsia"/>
          <w:color w:val="000000" w:themeColor="text1"/>
          <w:sz w:val="32"/>
          <w:szCs w:val="32"/>
        </w:rPr>
        <w:t>一步融入农区社区服务。</w:t>
      </w:r>
      <w:r w:rsidR="0034677B" w:rsidRPr="0034677B">
        <w:rPr>
          <w:rFonts w:ascii="仿宋_GB2312" w:eastAsia="仿宋_GB2312" w:hint="eastAsia"/>
          <w:color w:val="000000" w:themeColor="text1"/>
          <w:sz w:val="32"/>
          <w:szCs w:val="32"/>
        </w:rPr>
        <w:t>常态化制度化推进“农区整村授信”工作，深化“城区普惠授信”工作，</w:t>
      </w:r>
      <w:r>
        <w:rPr>
          <w:rFonts w:ascii="仿宋_GB2312" w:eastAsia="仿宋_GB2312" w:hint="eastAsia"/>
          <w:color w:val="000000" w:themeColor="text1"/>
          <w:sz w:val="32"/>
          <w:szCs w:val="32"/>
        </w:rPr>
        <w:t>延伸社区网格化管理，切入居民日常衣食住行、教育、医疗、养老等需求，融合百</w:t>
      </w:r>
      <w:proofErr w:type="gramStart"/>
      <w:r>
        <w:rPr>
          <w:rFonts w:ascii="仿宋_GB2312" w:eastAsia="仿宋_GB2312" w:hint="eastAsia"/>
          <w:color w:val="000000" w:themeColor="text1"/>
          <w:sz w:val="32"/>
          <w:szCs w:val="32"/>
        </w:rPr>
        <w:t>福生活</w:t>
      </w:r>
      <w:proofErr w:type="gramEnd"/>
      <w:r>
        <w:rPr>
          <w:rFonts w:ascii="仿宋_GB2312" w:eastAsia="仿宋_GB2312" w:hint="eastAsia"/>
          <w:color w:val="000000" w:themeColor="text1"/>
          <w:sz w:val="32"/>
          <w:szCs w:val="32"/>
        </w:rPr>
        <w:t>圈建设，打造基于社区居民生活场景的线上线下金融服务生态圈。深度融入本地城乡社区治理，深化疫情期间构建的服务社区的新模式，探索通过义务服务等形式，建立与社区日常工作沟通交流的长效机制，及时满足客户有效金融需</w:t>
      </w:r>
      <w:r>
        <w:rPr>
          <w:rFonts w:ascii="仿宋_GB2312" w:eastAsia="仿宋_GB2312" w:hint="eastAsia"/>
          <w:color w:val="000000" w:themeColor="text1"/>
          <w:sz w:val="32"/>
          <w:szCs w:val="32"/>
        </w:rPr>
        <w:lastRenderedPageBreak/>
        <w:t>求。转型升级农村普惠金融便民服务示范站，提高服务效能,增强农村居民获得高质</w:t>
      </w:r>
      <w:proofErr w:type="gramStart"/>
      <w:r>
        <w:rPr>
          <w:rFonts w:ascii="仿宋_GB2312" w:eastAsia="仿宋_GB2312" w:hint="eastAsia"/>
          <w:color w:val="000000" w:themeColor="text1"/>
          <w:sz w:val="32"/>
          <w:szCs w:val="32"/>
        </w:rPr>
        <w:t>效</w:t>
      </w:r>
      <w:proofErr w:type="gramEnd"/>
      <w:r>
        <w:rPr>
          <w:rFonts w:ascii="仿宋_GB2312" w:eastAsia="仿宋_GB2312" w:hint="eastAsia"/>
          <w:color w:val="000000" w:themeColor="text1"/>
          <w:sz w:val="32"/>
          <w:szCs w:val="32"/>
        </w:rPr>
        <w:t>金融服务的便利性。利用自身资源禀赋，抓住推动共同富裕中的政策利好，寻找业务发展机会</w:t>
      </w:r>
      <w:r w:rsidRPr="009E5B2E">
        <w:rPr>
          <w:rFonts w:ascii="仿宋_GB2312" w:eastAsia="仿宋_GB2312" w:hint="eastAsia"/>
          <w:color w:val="000000" w:themeColor="text1"/>
          <w:sz w:val="32"/>
          <w:szCs w:val="32"/>
        </w:rPr>
        <w:t>。</w:t>
      </w:r>
    </w:p>
    <w:p w:rsidR="009E5B2E" w:rsidRPr="00C72990" w:rsidRDefault="009E5B2E" w:rsidP="009E5B2E">
      <w:pPr>
        <w:pBdr>
          <w:bottom w:val="single" w:sz="4" w:space="31" w:color="FFFFFF"/>
        </w:pBdr>
        <w:autoSpaceDE w:val="0"/>
        <w:autoSpaceDN w:val="0"/>
        <w:adjustRightInd w:val="0"/>
        <w:snapToGrid w:val="0"/>
        <w:spacing w:line="560" w:lineRule="exact"/>
        <w:ind w:firstLineChars="200" w:firstLine="640"/>
        <w:contextualSpacing/>
        <w:rPr>
          <w:rFonts w:ascii="仿宋_GB2312" w:eastAsia="仿宋_GB2312" w:hAnsi="Malgun Gothic Semilight" w:cs="Malgun Gothic Semilight"/>
          <w:sz w:val="32"/>
          <w:szCs w:val="32"/>
        </w:rPr>
      </w:pPr>
      <w:r w:rsidRPr="009E5B2E">
        <w:rPr>
          <w:rFonts w:ascii="仿宋_GB2312" w:eastAsia="仿宋_GB2312" w:hint="eastAsia"/>
          <w:sz w:val="32"/>
          <w:szCs w:val="32"/>
        </w:rPr>
        <w:t>7.29 进一步推进产品服务创新。在省联社平台的支撑下，推进网点形象标准化建设，构建网点规范、系统的管理服务体系。以“银行共建，商户共推，客户共享”的百</w:t>
      </w:r>
      <w:proofErr w:type="gramStart"/>
      <w:r w:rsidRPr="009E5B2E">
        <w:rPr>
          <w:rFonts w:ascii="仿宋_GB2312" w:eastAsia="仿宋_GB2312" w:hint="eastAsia"/>
          <w:sz w:val="32"/>
          <w:szCs w:val="32"/>
        </w:rPr>
        <w:t>福生活</w:t>
      </w:r>
      <w:proofErr w:type="gramEnd"/>
      <w:r w:rsidRPr="009E5B2E">
        <w:rPr>
          <w:rFonts w:ascii="仿宋_GB2312" w:eastAsia="仿宋_GB2312" w:hint="eastAsia"/>
          <w:sz w:val="32"/>
          <w:szCs w:val="32"/>
        </w:rPr>
        <w:t>圈为抓手，开展丰富多彩的生活圈活动，增强商户、客户粘性，推动银行卡业务均衡发展。</w:t>
      </w:r>
      <w:r w:rsidRPr="009E5B2E">
        <w:rPr>
          <w:rFonts w:ascii="仿宋_GB2312" w:eastAsia="仿宋_GB2312" w:hAnsi="Arial" w:cs="Arial" w:hint="eastAsia"/>
          <w:kern w:val="0"/>
          <w:sz w:val="32"/>
          <w:szCs w:val="32"/>
        </w:rPr>
        <w:t>积极推广“百福生活圈”，</w:t>
      </w:r>
      <w:r w:rsidRPr="009E5B2E">
        <w:rPr>
          <w:rFonts w:ascii="仿宋_GB2312" w:eastAsia="仿宋_GB2312" w:hAnsi="仿宋" w:cs="仿宋" w:hint="eastAsia"/>
          <w:sz w:val="32"/>
          <w:szCs w:val="32"/>
        </w:rPr>
        <w:t>拓展维护社区“吃穿住行娱医用”等高频次、高流量、民生性场景商户，</w:t>
      </w:r>
      <w:r w:rsidRPr="009E5B2E">
        <w:rPr>
          <w:rFonts w:ascii="仿宋_GB2312" w:eastAsia="仿宋_GB2312" w:hint="eastAsia"/>
          <w:sz w:val="32"/>
          <w:szCs w:val="32"/>
        </w:rPr>
        <w:t>开发商超、学校等专业性场景商户，确保利用“百福通”聚合支付综合产品至少开辟一个新的智慧收单业务场景，提高“百福生活圈”行业商户覆盖面</w:t>
      </w:r>
      <w:r w:rsidRPr="009E5B2E">
        <w:rPr>
          <w:rFonts w:ascii="仿宋_GB2312" w:eastAsia="仿宋_GB2312" w:hAnsi="仿宋" w:cs="仿宋" w:hint="eastAsia"/>
          <w:sz w:val="32"/>
          <w:szCs w:val="32"/>
        </w:rPr>
        <w:t>，</w:t>
      </w:r>
      <w:r w:rsidRPr="009E5B2E">
        <w:rPr>
          <w:rFonts w:ascii="仿宋_GB2312" w:eastAsia="仿宋_GB2312" w:hint="eastAsia"/>
          <w:sz w:val="32"/>
          <w:szCs w:val="32"/>
        </w:rPr>
        <w:t>用金融产品衔接居民的基本生活，</w:t>
      </w:r>
      <w:r w:rsidRPr="009E5B2E">
        <w:rPr>
          <w:rFonts w:ascii="仿宋_GB2312" w:eastAsia="仿宋_GB2312" w:hAnsi="仿宋" w:hint="eastAsia"/>
          <w:sz w:val="32"/>
          <w:szCs w:val="32"/>
        </w:rPr>
        <w:t>提高客户粘性。</w:t>
      </w:r>
      <w:r w:rsidRPr="009E5B2E">
        <w:rPr>
          <w:rFonts w:ascii="仿宋_GB2312" w:eastAsia="仿宋_GB2312" w:hint="eastAsia"/>
          <w:sz w:val="32"/>
          <w:szCs w:val="32"/>
        </w:rPr>
        <w:t>转型升级农村普惠金融便民服务示范站,</w:t>
      </w:r>
      <w:r w:rsidRPr="009E5B2E">
        <w:rPr>
          <w:rFonts w:ascii="仿宋_GB2312" w:eastAsia="仿宋_GB2312" w:hAnsi="微软雅黑" w:cs="微软雅黑" w:hint="eastAsia"/>
          <w:sz w:val="32"/>
          <w:szCs w:val="32"/>
        </w:rPr>
        <w:t>将地理位置好</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人流量大</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业务需求旺盛的优质</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村村通</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助农取款服务站</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赋能扩容建设为环境更好</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功能更全</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服务更优的普惠金融服务站</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将便捷惠民利民的金融服务嵌入农户生产生活各环节</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把农村基础金融服务最后</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一公里</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打造成最美</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一公里</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助力按下乡村振兴</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快进键</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将乡村普惠金融服务站建设成果复制到城市社区</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以站点商户为媒介延伸服务半径</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逐步开展商户分期</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社保卡业务预受理</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存贷款业务介绍</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社区团购</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社区党建</w:t>
      </w:r>
      <w:r w:rsidRPr="009E5B2E">
        <w:rPr>
          <w:rFonts w:ascii="仿宋_GB2312" w:eastAsia="仿宋_GB2312" w:hAnsi="Malgun Gothic Semilight" w:cs="Malgun Gothic Semilight" w:hint="eastAsia"/>
          <w:sz w:val="32"/>
          <w:szCs w:val="32"/>
        </w:rPr>
        <w:t>、</w:t>
      </w:r>
      <w:r w:rsidRPr="009E5B2E">
        <w:rPr>
          <w:rFonts w:ascii="仿宋_GB2312" w:eastAsia="仿宋_GB2312" w:hAnsi="微软雅黑" w:cs="微软雅黑" w:hint="eastAsia"/>
          <w:sz w:val="32"/>
          <w:szCs w:val="32"/>
        </w:rPr>
        <w:t>助老爱幼等</w:t>
      </w:r>
      <w:r w:rsidRPr="009E5B2E">
        <w:rPr>
          <w:rFonts w:ascii="仿宋_GB2312" w:eastAsia="仿宋_GB2312" w:hAnsi="Malgun Gothic Semilight" w:cs="Malgun Gothic Semilight" w:hint="eastAsia"/>
          <w:sz w:val="32"/>
          <w:szCs w:val="32"/>
        </w:rPr>
        <w:t>“1+N”</w:t>
      </w:r>
      <w:r w:rsidRPr="009E5B2E">
        <w:rPr>
          <w:rFonts w:ascii="仿宋_GB2312" w:eastAsia="仿宋_GB2312" w:hAnsi="微软雅黑" w:cs="微软雅黑" w:hint="eastAsia"/>
          <w:sz w:val="32"/>
          <w:szCs w:val="32"/>
        </w:rPr>
        <w:t>特色服务</w:t>
      </w:r>
      <w:r w:rsidRPr="009E5B2E">
        <w:rPr>
          <w:rFonts w:ascii="仿宋_GB2312" w:eastAsia="仿宋_GB2312" w:hAnsi="Malgun Gothic Semilight" w:cs="Malgun Gothic Semilight" w:hint="eastAsia"/>
          <w:sz w:val="32"/>
          <w:szCs w:val="32"/>
        </w:rPr>
        <w:t>。</w:t>
      </w:r>
    </w:p>
    <w:p w:rsidR="009E5B2E" w:rsidRDefault="009E5B2E"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s="宋体"/>
          <w:color w:val="000000" w:themeColor="text1"/>
          <w:sz w:val="32"/>
          <w:szCs w:val="32"/>
        </w:rPr>
      </w:pPr>
    </w:p>
    <w:p w:rsidR="009E5B2E" w:rsidRDefault="00C70A09"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Pr>
          <w:rFonts w:ascii="黑体" w:eastAsia="黑体" w:hAnsi="黑体" w:cs="宋体" w:hint="eastAsia"/>
          <w:color w:val="000000" w:themeColor="text1"/>
          <w:sz w:val="32"/>
          <w:szCs w:val="32"/>
        </w:rPr>
        <w:t xml:space="preserve"> 八、铜鼓农商银行2023年</w:t>
      </w:r>
      <w:r>
        <w:rPr>
          <w:rFonts w:ascii="黑体" w:eastAsia="黑体" w:hAnsi="黑体" w:hint="eastAsia"/>
          <w:color w:val="000000" w:themeColor="text1"/>
          <w:sz w:val="32"/>
          <w:szCs w:val="32"/>
        </w:rPr>
        <w:t>金融服务乡村振兴工作</w:t>
      </w:r>
    </w:p>
    <w:p w:rsidR="009E5B2E" w:rsidRDefault="00C70A09"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Pr>
          <w:rFonts w:ascii="仿宋_GB2312" w:eastAsia="仿宋_GB2312" w:hAnsi="仿宋_GB2312" w:cs="仿宋_GB2312" w:hint="eastAsia"/>
          <w:bCs/>
          <w:color w:val="000000" w:themeColor="text1"/>
          <w:sz w:val="32"/>
          <w:szCs w:val="32"/>
        </w:rPr>
        <w:t xml:space="preserve">8.1 </w:t>
      </w:r>
      <w:r>
        <w:rPr>
          <w:rFonts w:ascii="仿宋_GB2312" w:eastAsia="仿宋_GB2312" w:hAnsi="仿宋_GB2312" w:cs="仿宋_GB2312" w:hint="eastAsia"/>
          <w:color w:val="000000" w:themeColor="text1"/>
          <w:sz w:val="32"/>
          <w:szCs w:val="32"/>
        </w:rPr>
        <w:t>2023年以来，我行积极响应县委、县政府乡村振兴部</w:t>
      </w:r>
      <w:r>
        <w:rPr>
          <w:rFonts w:ascii="仿宋_GB2312" w:eastAsia="仿宋_GB2312" w:hAnsi="仿宋_GB2312" w:cs="仿宋_GB2312" w:hint="eastAsia"/>
          <w:color w:val="000000" w:themeColor="text1"/>
          <w:sz w:val="32"/>
          <w:szCs w:val="32"/>
        </w:rPr>
        <w:lastRenderedPageBreak/>
        <w:t>署，助推我县乡村振兴在“三农”领域落地生根，</w:t>
      </w:r>
      <w:r w:rsidR="0034677B">
        <w:rPr>
          <w:rFonts w:ascii="仿宋_GB2312" w:eastAsia="仿宋_GB2312" w:hAnsi="仿宋_GB2312" w:cs="仿宋_GB2312" w:hint="eastAsia"/>
          <w:color w:val="000000" w:themeColor="text1"/>
          <w:sz w:val="32"/>
          <w:szCs w:val="32"/>
        </w:rPr>
        <w:t>全面</w:t>
      </w:r>
      <w:r>
        <w:rPr>
          <w:rFonts w:ascii="仿宋_GB2312" w:eastAsia="仿宋_GB2312" w:hAnsi="仿宋_GB2312" w:cs="仿宋_GB2312" w:hint="eastAsia"/>
          <w:color w:val="000000" w:themeColor="text1"/>
          <w:sz w:val="32"/>
          <w:szCs w:val="32"/>
        </w:rPr>
        <w:t>服务乡村振兴工作。</w:t>
      </w:r>
    </w:p>
    <w:p w:rsidR="009E5B2E" w:rsidRDefault="00C70A09"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Pr>
          <w:rFonts w:ascii="仿宋_GB2312" w:eastAsia="仿宋_GB2312" w:hAnsi="仿宋_GB2312" w:cs="仿宋_GB2312" w:hint="eastAsia"/>
          <w:color w:val="000000" w:themeColor="text1"/>
          <w:sz w:val="32"/>
          <w:szCs w:val="32"/>
        </w:rPr>
        <w:t>8.2 总体情况</w:t>
      </w:r>
      <w:r w:rsidR="009E5B2E">
        <w:rPr>
          <w:rFonts w:ascii="黑体" w:eastAsia="黑体" w:hAnsi="黑体" w:hint="eastAsia"/>
          <w:color w:val="000000" w:themeColor="text1"/>
          <w:sz w:val="32"/>
          <w:szCs w:val="32"/>
        </w:rPr>
        <w:t>。</w:t>
      </w:r>
      <w:r w:rsidR="00F90C7C" w:rsidRPr="003B31AC">
        <w:rPr>
          <w:rFonts w:ascii="仿宋_GB2312" w:eastAsia="仿宋_GB2312" w:hAnsi="微软雅黑" w:hint="eastAsia"/>
          <w:color w:val="171A1D"/>
          <w:sz w:val="32"/>
          <w:szCs w:val="32"/>
          <w:shd w:val="clear" w:color="auto" w:fill="FFFFFF"/>
        </w:rPr>
        <w:t>2023年末，我行涉农贷款余额为128991.03万元，较年初净增2353.99元，普惠涉农贷款余额（不含票据融资）95343.81万元，较年初净增4439.28万元，普惠小</w:t>
      </w:r>
      <w:proofErr w:type="gramStart"/>
      <w:r w:rsidR="00F90C7C" w:rsidRPr="003B31AC">
        <w:rPr>
          <w:rFonts w:ascii="仿宋_GB2312" w:eastAsia="仿宋_GB2312" w:hAnsi="微软雅黑" w:hint="eastAsia"/>
          <w:color w:val="171A1D"/>
          <w:sz w:val="32"/>
          <w:szCs w:val="32"/>
          <w:shd w:val="clear" w:color="auto" w:fill="FFFFFF"/>
        </w:rPr>
        <w:t>微贷款</w:t>
      </w:r>
      <w:proofErr w:type="gramEnd"/>
      <w:r w:rsidR="00F90C7C" w:rsidRPr="003B31AC">
        <w:rPr>
          <w:rFonts w:ascii="仿宋_GB2312" w:eastAsia="仿宋_GB2312" w:hAnsi="微软雅黑" w:hint="eastAsia"/>
          <w:color w:val="171A1D"/>
          <w:sz w:val="32"/>
          <w:szCs w:val="32"/>
          <w:shd w:val="clear" w:color="auto" w:fill="FFFFFF"/>
        </w:rPr>
        <w:t>余额（不含票据融资）85948.88万元，较年初净增10880.49万元，各项贷款余额（不含票据融资）225031.78万元，较年初净增23785.02万元，普惠小</w:t>
      </w:r>
      <w:proofErr w:type="gramStart"/>
      <w:r w:rsidR="00F90C7C" w:rsidRPr="003B31AC">
        <w:rPr>
          <w:rFonts w:ascii="仿宋_GB2312" w:eastAsia="仿宋_GB2312" w:hAnsi="微软雅黑" w:hint="eastAsia"/>
          <w:color w:val="171A1D"/>
          <w:sz w:val="32"/>
          <w:szCs w:val="32"/>
          <w:shd w:val="clear" w:color="auto" w:fill="FFFFFF"/>
        </w:rPr>
        <w:t>微贷款</w:t>
      </w:r>
      <w:proofErr w:type="gramEnd"/>
      <w:r w:rsidR="00F90C7C" w:rsidRPr="003B31AC">
        <w:rPr>
          <w:rFonts w:ascii="仿宋_GB2312" w:eastAsia="仿宋_GB2312" w:hAnsi="微软雅黑" w:hint="eastAsia"/>
          <w:color w:val="171A1D"/>
          <w:sz w:val="32"/>
          <w:szCs w:val="32"/>
          <w:shd w:val="clear" w:color="auto" w:fill="FFFFFF"/>
        </w:rPr>
        <w:t>增速（不含票据融资）14.49%，超各项贷款增速（不含票据融资）2.67个百分点，普惠小</w:t>
      </w:r>
      <w:proofErr w:type="gramStart"/>
      <w:r w:rsidR="00F90C7C" w:rsidRPr="003B31AC">
        <w:rPr>
          <w:rFonts w:ascii="仿宋_GB2312" w:eastAsia="仿宋_GB2312" w:hAnsi="微软雅黑" w:hint="eastAsia"/>
          <w:color w:val="171A1D"/>
          <w:sz w:val="32"/>
          <w:szCs w:val="32"/>
          <w:shd w:val="clear" w:color="auto" w:fill="FFFFFF"/>
        </w:rPr>
        <w:t>微贷款</w:t>
      </w:r>
      <w:proofErr w:type="gramEnd"/>
      <w:r w:rsidR="00F90C7C" w:rsidRPr="003B31AC">
        <w:rPr>
          <w:rFonts w:ascii="仿宋_GB2312" w:eastAsia="仿宋_GB2312" w:hAnsi="微软雅黑" w:hint="eastAsia"/>
          <w:color w:val="171A1D"/>
          <w:sz w:val="32"/>
          <w:szCs w:val="32"/>
          <w:shd w:val="clear" w:color="auto" w:fill="FFFFFF"/>
        </w:rPr>
        <w:t>户数（不含票据融资）2059户，较年初净增6户，实现两</w:t>
      </w:r>
      <w:proofErr w:type="gramStart"/>
      <w:r w:rsidR="00F90C7C" w:rsidRPr="003B31AC">
        <w:rPr>
          <w:rFonts w:ascii="仿宋_GB2312" w:eastAsia="仿宋_GB2312" w:hAnsi="微软雅黑" w:hint="eastAsia"/>
          <w:color w:val="171A1D"/>
          <w:sz w:val="32"/>
          <w:szCs w:val="32"/>
          <w:shd w:val="clear" w:color="auto" w:fill="FFFFFF"/>
        </w:rPr>
        <w:t>增两控目标</w:t>
      </w:r>
      <w:proofErr w:type="gramEnd"/>
      <w:r w:rsidR="00F90C7C" w:rsidRPr="003B31AC">
        <w:rPr>
          <w:rFonts w:ascii="仿宋_GB2312" w:eastAsia="仿宋_GB2312" w:hAnsi="微软雅黑" w:hint="eastAsia"/>
          <w:color w:val="171A1D"/>
          <w:sz w:val="32"/>
          <w:szCs w:val="32"/>
          <w:shd w:val="clear" w:color="auto" w:fill="FFFFFF"/>
        </w:rPr>
        <w:t>。</w:t>
      </w:r>
    </w:p>
    <w:p w:rsidR="009E5B2E" w:rsidRDefault="009E5B2E"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sidRPr="00277695">
        <w:rPr>
          <w:rFonts w:ascii="仿宋_GB2312" w:eastAsia="仿宋_GB2312" w:hAnsi="仿宋_GB2312" w:cs="仿宋_GB2312" w:hint="eastAsia"/>
          <w:bCs/>
          <w:color w:val="000000" w:themeColor="text1"/>
          <w:sz w:val="32"/>
          <w:szCs w:val="32"/>
        </w:rPr>
        <w:t>8.3 开展情况</w:t>
      </w:r>
    </w:p>
    <w:p w:rsidR="009E5B2E" w:rsidRDefault="009E5B2E"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sidRPr="00277695">
        <w:rPr>
          <w:rFonts w:ascii="仿宋_GB2312" w:eastAsia="仿宋_GB2312" w:hAnsi="仿宋_GB2312" w:cs="仿宋_GB2312" w:hint="eastAsia"/>
          <w:bCs/>
          <w:color w:val="000000" w:themeColor="text1"/>
          <w:sz w:val="32"/>
          <w:szCs w:val="32"/>
        </w:rPr>
        <w:t>8.31 制订规划</w:t>
      </w:r>
    </w:p>
    <w:p w:rsidR="009E5B2E" w:rsidRPr="009E5B2E" w:rsidRDefault="009E5B2E" w:rsidP="009E5B2E">
      <w:pPr>
        <w:pBdr>
          <w:bottom w:val="single" w:sz="4" w:space="31" w:color="FFFFFF"/>
        </w:pBdr>
        <w:autoSpaceDE w:val="0"/>
        <w:autoSpaceDN w:val="0"/>
        <w:adjustRightInd w:val="0"/>
        <w:snapToGrid w:val="0"/>
        <w:spacing w:line="560" w:lineRule="exact"/>
        <w:ind w:firstLineChars="200" w:firstLine="640"/>
        <w:contextualSpacing/>
        <w:rPr>
          <w:rFonts w:ascii="黑体" w:eastAsia="黑体" w:hAnsi="黑体"/>
          <w:color w:val="000000" w:themeColor="text1"/>
          <w:sz w:val="32"/>
          <w:szCs w:val="32"/>
        </w:rPr>
      </w:pPr>
      <w:r>
        <w:rPr>
          <w:rFonts w:ascii="仿宋_GB2312" w:eastAsia="仿宋_GB2312" w:hAnsi="仿宋_GB2312" w:cs="仿宋_GB2312" w:hint="eastAsia"/>
          <w:bCs/>
          <w:color w:val="000000" w:themeColor="text1"/>
          <w:sz w:val="32"/>
          <w:szCs w:val="32"/>
        </w:rPr>
        <w:t>针对我县乡村振兴工作，本</w:t>
      </w:r>
      <w:r w:rsidRPr="00277695">
        <w:rPr>
          <w:rFonts w:ascii="仿宋_GB2312" w:eastAsia="仿宋_GB2312" w:hAnsi="仿宋_GB2312" w:cs="仿宋_GB2312" w:hint="eastAsia"/>
          <w:bCs/>
          <w:color w:val="000000" w:themeColor="text1"/>
          <w:sz w:val="32"/>
          <w:szCs w:val="32"/>
        </w:rPr>
        <w:t>行于制定了《铜鼓农商银行金融支持乡村振兴</w:t>
      </w:r>
      <w:r w:rsidRPr="00277695">
        <w:rPr>
          <w:rFonts w:ascii="仿宋_GB2312" w:eastAsia="仿宋_GB2312" w:hint="eastAsia"/>
          <w:color w:val="000000" w:themeColor="text1"/>
          <w:sz w:val="32"/>
          <w:szCs w:val="32"/>
        </w:rPr>
        <w:t>三年规划》（2021-2023年），结合本县实际，一是明确三年我行总计累计投放乡村振兴信贷支持不低于36个亿。确定2023年度金融支持乡村振兴累计投放不低于10亿元，2023年度金融支持乡村振兴累计投放不低于12亿元，2023年度金融支持乡村振兴累计投放不低于14亿元；二是创新整合推出了“百福农业生产贷”“百福农权贷”、“百福文旅贷”“百福民宿贷”“百福林权贷”“百福农机购置贷”等六款乡村振兴系列信贷产品，目前“百福农权贷”已投放260万元；三是当前我行强化对农户、专业大户、种养大户、家庭农场、农民合作社、</w:t>
      </w:r>
      <w:r w:rsidRPr="00277695">
        <w:rPr>
          <w:rFonts w:ascii="仿宋_GB2312" w:eastAsia="仿宋_GB2312" w:hint="eastAsia"/>
          <w:color w:val="000000" w:themeColor="text1"/>
          <w:sz w:val="32"/>
          <w:szCs w:val="32"/>
        </w:rPr>
        <w:lastRenderedPageBreak/>
        <w:t>农业企业等开展“百福农业生产贷”，目前全行10个网点开立了此项业务。</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8.32 关注政策</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根据铜鼓县十四五规划，我县“生态+大健康”产业的主导地位初步确立，“竹精深加工、有机食品、生物医药”三大特色产业纵深发展，“四大产业园区”作为工业主战场的地位牢固树立，我行积极融入支持助</w:t>
      </w:r>
      <w:proofErr w:type="gramStart"/>
      <w:r w:rsidRPr="00277695">
        <w:rPr>
          <w:rFonts w:ascii="仿宋_GB2312" w:eastAsia="仿宋_GB2312" w:hint="eastAsia"/>
          <w:color w:val="000000" w:themeColor="text1"/>
          <w:sz w:val="32"/>
          <w:szCs w:val="32"/>
        </w:rPr>
        <w:t>推政府</w:t>
      </w:r>
      <w:proofErr w:type="gramEnd"/>
      <w:r w:rsidRPr="00277695">
        <w:rPr>
          <w:rFonts w:ascii="仿宋_GB2312" w:eastAsia="仿宋_GB2312" w:hint="eastAsia"/>
          <w:color w:val="000000" w:themeColor="text1"/>
          <w:sz w:val="32"/>
          <w:szCs w:val="32"/>
        </w:rPr>
        <w:t>打好“红色”、“绿色”两张牌。</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8.4 加强对接</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根据我县乡村振兴规划，我行加强了与县政府主管部门的沟通，及时掌握政府动态和政策，共同推进乡村振兴产品和金融服务，积极构建“政、银、担、保”多方合作机制。我行与县农业农村局达成协议，共同推动我县</w:t>
      </w:r>
      <w:proofErr w:type="gramStart"/>
      <w:r w:rsidRPr="00277695">
        <w:rPr>
          <w:rFonts w:ascii="仿宋_GB2312" w:eastAsia="仿宋_GB2312" w:hint="eastAsia"/>
          <w:color w:val="000000" w:themeColor="text1"/>
          <w:sz w:val="32"/>
          <w:szCs w:val="32"/>
        </w:rPr>
        <w:t>农权贷</w:t>
      </w:r>
      <w:proofErr w:type="gramEnd"/>
      <w:r w:rsidRPr="00277695">
        <w:rPr>
          <w:rFonts w:ascii="仿宋_GB2312" w:eastAsia="仿宋_GB2312" w:hint="eastAsia"/>
          <w:color w:val="000000" w:themeColor="text1"/>
          <w:sz w:val="32"/>
          <w:szCs w:val="32"/>
        </w:rPr>
        <w:t>落地，目前担保方已在我行开立保证金账户，目前已发放1户；与</w:t>
      </w:r>
      <w:proofErr w:type="gramStart"/>
      <w:r w:rsidRPr="00277695">
        <w:rPr>
          <w:rFonts w:ascii="仿宋_GB2312" w:eastAsia="仿宋_GB2312" w:hint="eastAsia"/>
          <w:color w:val="000000" w:themeColor="text1"/>
          <w:sz w:val="32"/>
          <w:szCs w:val="32"/>
        </w:rPr>
        <w:t>文旅新广局</w:t>
      </w:r>
      <w:proofErr w:type="gramEnd"/>
      <w:r w:rsidRPr="00277695">
        <w:rPr>
          <w:rFonts w:ascii="仿宋_GB2312" w:eastAsia="仿宋_GB2312" w:hint="eastAsia"/>
          <w:color w:val="000000" w:themeColor="text1"/>
          <w:sz w:val="32"/>
          <w:szCs w:val="32"/>
        </w:rPr>
        <w:t>推进“文旅贷”产品，目前已发放1户，金额300万元；与农机部门协调创立了“百福农机购置贷”信贷产品，在给予农户购机授信的同时，农户还可享受购机补贴和贷款贴息；后续我行将与林业对接，积极助力我县农业农村现代化的推进，配合发展我县“茶叶、黄精、竹笋”等林下经济产业，目前我县已成功申报高标准农田建设2万亩，新建果蔬、茶叶、中药材等示范基地14个，新增中药材种植面积2.5万亩，完成有机基地认证面积60万亩，认证品种51个，获评了“中国黄精之乡”和“全国农村承包地确权登记颁证工作典型地区”。</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lastRenderedPageBreak/>
        <w:t>8.5 实际成效</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目前我县乡村振兴处于起步阶段，我行乡村振兴系列产品已得到初步运用，前期与政府对当地规模较大、影响力广的农业综合体龙头企业江西花</w:t>
      </w:r>
      <w:proofErr w:type="gramStart"/>
      <w:r w:rsidRPr="00277695">
        <w:rPr>
          <w:rFonts w:ascii="仿宋_GB2312" w:eastAsia="仿宋_GB2312" w:hint="eastAsia"/>
          <w:color w:val="000000" w:themeColor="text1"/>
          <w:sz w:val="32"/>
          <w:szCs w:val="32"/>
        </w:rPr>
        <w:t>浒</w:t>
      </w:r>
      <w:proofErr w:type="gramEnd"/>
      <w:r w:rsidRPr="00277695">
        <w:rPr>
          <w:rFonts w:ascii="仿宋_GB2312" w:eastAsia="仿宋_GB2312" w:hint="eastAsia"/>
          <w:color w:val="000000" w:themeColor="text1"/>
          <w:sz w:val="32"/>
          <w:szCs w:val="32"/>
        </w:rPr>
        <w:t>林泉生态产业投资有限公司、电子科技产业江西尚朋电子科技有限公司等多家企业进行联合授信仪式，对前期摸排的小规模农家乐、民宿、果园等农民产业实行名单制管理，逐户授信对接逐户销号，对系统的乡村振兴仍在不断完善改进中。</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8.6 下步打算</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8.61 强化与政府合作，构建战略协议。根据我县第十四个五年规划对本县乡村振兴的目标与规划，我行将积极与县委、县政府请示汇报，达成签订农商银行金融服务支持本县乡村振兴战略合作协议。</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8.62 强化基层对接，助力乡村振兴。要求全</w:t>
      </w:r>
      <w:proofErr w:type="gramStart"/>
      <w:r w:rsidRPr="00277695">
        <w:rPr>
          <w:rFonts w:ascii="仿宋_GB2312" w:eastAsia="仿宋_GB2312" w:hint="eastAsia"/>
          <w:color w:val="000000" w:themeColor="text1"/>
          <w:sz w:val="32"/>
          <w:szCs w:val="32"/>
        </w:rPr>
        <w:t>行加大</w:t>
      </w:r>
      <w:proofErr w:type="gramEnd"/>
      <w:r w:rsidRPr="00277695">
        <w:rPr>
          <w:rFonts w:ascii="仿宋_GB2312" w:eastAsia="仿宋_GB2312" w:hint="eastAsia"/>
          <w:color w:val="000000" w:themeColor="text1"/>
          <w:sz w:val="32"/>
          <w:szCs w:val="32"/>
        </w:rPr>
        <w:t>对基层的摸排营销力度，强化与村两委的对接，争取乡镇的支持，掌握政府规划和乡村振兴项目，发挥乡村振兴联络员的职能作用。</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8.63 强化激励考核，提升服务水平。为促进金融支持乡村振兴业务有序推进，我行根据“按劳分配、多劳多得”原则，在防范信用风险前提下，出台对客户经理创造的利息收入给予奖励的正向激励措施，提升客户经理的获得感和成就感，反推客户经理信贷投放力度和工作积极性。</w:t>
      </w:r>
    </w:p>
    <w:p w:rsidR="009E5B2E" w:rsidRPr="00277695" w:rsidRDefault="009E5B2E" w:rsidP="009E5B2E">
      <w:pPr>
        <w:pBdr>
          <w:bottom w:val="single" w:sz="4" w:space="14" w:color="FFFFFF"/>
        </w:pBdr>
        <w:tabs>
          <w:tab w:val="left" w:pos="1440"/>
        </w:tabs>
        <w:autoSpaceDE w:val="0"/>
        <w:autoSpaceDN w:val="0"/>
        <w:spacing w:line="560" w:lineRule="exact"/>
        <w:ind w:firstLineChars="200" w:firstLine="640"/>
        <w:rPr>
          <w:rFonts w:ascii="仿宋_GB2312" w:eastAsia="仿宋_GB2312"/>
          <w:color w:val="000000" w:themeColor="text1"/>
          <w:sz w:val="32"/>
          <w:szCs w:val="32"/>
        </w:rPr>
      </w:pPr>
      <w:r w:rsidRPr="00277695">
        <w:rPr>
          <w:rFonts w:ascii="仿宋_GB2312" w:eastAsia="仿宋_GB2312" w:hint="eastAsia"/>
          <w:color w:val="000000" w:themeColor="text1"/>
          <w:sz w:val="32"/>
          <w:szCs w:val="32"/>
        </w:rPr>
        <w:t>8.64 以客户为中心，提升服务效率。要求各网点要提升农商行金融服务乡村振兴水平，变等客上门为主动上门，紧紧</w:t>
      </w:r>
      <w:r w:rsidRPr="00277695">
        <w:rPr>
          <w:rFonts w:ascii="仿宋_GB2312" w:eastAsia="仿宋_GB2312" w:hint="eastAsia"/>
          <w:color w:val="000000" w:themeColor="text1"/>
          <w:sz w:val="32"/>
          <w:szCs w:val="32"/>
        </w:rPr>
        <w:lastRenderedPageBreak/>
        <w:t>跟踪市场和客户需求，常态开展“三区一园”的综合宣传营销活动。</w:t>
      </w:r>
    </w:p>
    <w:p w:rsidR="006D2801" w:rsidRDefault="00C70A09">
      <w:pPr>
        <w:shd w:val="clear" w:color="auto" w:fill="FFFFFF"/>
        <w:spacing w:line="560" w:lineRule="exact"/>
        <w:ind w:firstLineChars="200" w:firstLine="640"/>
        <w:rPr>
          <w:rFonts w:ascii="宋体" w:hAnsi="宋体" w:cs="宋体"/>
          <w:color w:val="000000" w:themeColor="text1"/>
          <w:sz w:val="24"/>
        </w:rPr>
      </w:pPr>
      <w:r>
        <w:rPr>
          <w:rFonts w:ascii="黑体" w:eastAsia="黑体" w:hAnsi="黑体" w:cs="宋体" w:hint="eastAsia"/>
          <w:color w:val="000000" w:themeColor="text1"/>
          <w:sz w:val="32"/>
          <w:szCs w:val="32"/>
        </w:rPr>
        <w:t>九、面临的各类风险及风险管理情况</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2023年，本行继续强化内控管理，完善内控制度，有效防范风险，各项业务发展呈现良好势头。真实反映不良贷款后，虽然相关指标小幅下降，但本行积极采取措施，增收节支，加大计</w:t>
      </w:r>
      <w:proofErr w:type="gramStart"/>
      <w:r>
        <w:rPr>
          <w:rFonts w:ascii="仿宋_GB2312" w:eastAsia="仿宋_GB2312" w:hAnsi="宋体" w:cs="宋体" w:hint="eastAsia"/>
          <w:color w:val="000000" w:themeColor="text1"/>
          <w:sz w:val="32"/>
          <w:szCs w:val="32"/>
        </w:rPr>
        <w:t>提各项</w:t>
      </w:r>
      <w:proofErr w:type="gramEnd"/>
      <w:r>
        <w:rPr>
          <w:rFonts w:ascii="仿宋_GB2312" w:eastAsia="仿宋_GB2312" w:hAnsi="宋体" w:cs="宋体" w:hint="eastAsia"/>
          <w:color w:val="000000" w:themeColor="text1"/>
          <w:sz w:val="32"/>
          <w:szCs w:val="32"/>
        </w:rPr>
        <w:t>拨备，抗风险能力进一步增强。</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9.1董事会、高级管理层对风险的监控能力</w:t>
      </w:r>
    </w:p>
    <w:p w:rsidR="006D2801" w:rsidRDefault="00C70A09">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依据《章程》规定，制定了董事会议事规则，董事会设立了风险管理委员会、薪酬管理委员会等专业管理监督机构，并制定了各委员会议事规则和工作职责。本行高级管理层由一支专业知识丰富的高管人员组成，2名高管人员中，1</w:t>
      </w:r>
      <w:r w:rsidR="00F90C7C">
        <w:rPr>
          <w:rFonts w:ascii="仿宋_GB2312" w:eastAsia="仿宋_GB2312" w:hAnsi="仿宋" w:hint="eastAsia"/>
          <w:color w:val="000000" w:themeColor="text1"/>
          <w:sz w:val="32"/>
          <w:szCs w:val="32"/>
        </w:rPr>
        <w:t>名具备经济师职称</w:t>
      </w:r>
      <w:r>
        <w:rPr>
          <w:rFonts w:ascii="仿宋_GB2312" w:eastAsia="仿宋_GB2312" w:hAnsi="仿宋" w:hint="eastAsia"/>
          <w:color w:val="000000" w:themeColor="text1"/>
          <w:sz w:val="32"/>
          <w:szCs w:val="32"/>
        </w:rPr>
        <w:t>。此外，本行制定了高级管理人员绩效评价暂行办法；管理</w:t>
      </w:r>
      <w:proofErr w:type="gramStart"/>
      <w:r>
        <w:rPr>
          <w:rFonts w:ascii="仿宋_GB2312" w:eastAsia="仿宋_GB2312" w:hAnsi="仿宋" w:hint="eastAsia"/>
          <w:color w:val="000000" w:themeColor="text1"/>
          <w:sz w:val="32"/>
          <w:szCs w:val="32"/>
        </w:rPr>
        <w:t>层设立</w:t>
      </w:r>
      <w:proofErr w:type="gramEnd"/>
      <w:r>
        <w:rPr>
          <w:rFonts w:ascii="仿宋_GB2312" w:eastAsia="仿宋_GB2312" w:hAnsi="仿宋" w:hint="eastAsia"/>
          <w:color w:val="000000" w:themeColor="text1"/>
          <w:sz w:val="32"/>
          <w:szCs w:val="32"/>
        </w:rPr>
        <w:t>了风险合</w:t>
      </w:r>
      <w:proofErr w:type="gramStart"/>
      <w:r>
        <w:rPr>
          <w:rFonts w:ascii="仿宋_GB2312" w:eastAsia="仿宋_GB2312" w:hAnsi="仿宋" w:hint="eastAsia"/>
          <w:color w:val="000000" w:themeColor="text1"/>
          <w:sz w:val="32"/>
          <w:szCs w:val="32"/>
        </w:rPr>
        <w:t>规</w:t>
      </w:r>
      <w:proofErr w:type="gramEnd"/>
      <w:r>
        <w:rPr>
          <w:rFonts w:ascii="仿宋_GB2312" w:eastAsia="仿宋_GB2312" w:hAnsi="仿宋" w:hint="eastAsia"/>
          <w:color w:val="000000" w:themeColor="text1"/>
          <w:sz w:val="32"/>
          <w:szCs w:val="32"/>
        </w:rPr>
        <w:t>部，专门从事我行的风险监测和管理，风险监控能力较强。</w:t>
      </w:r>
    </w:p>
    <w:p w:rsidR="007B0A00" w:rsidRPr="007B0A00" w:rsidRDefault="007B0A00" w:rsidP="007B0A00">
      <w:pPr>
        <w:shd w:val="clear" w:color="auto" w:fill="FFFFFF"/>
        <w:spacing w:line="560" w:lineRule="exact"/>
        <w:ind w:firstLine="640"/>
        <w:rPr>
          <w:rFonts w:ascii="仿宋_GB2312" w:eastAsia="仿宋_GB2312" w:hAnsi="仿宋"/>
          <w:color w:val="000000" w:themeColor="text1"/>
          <w:sz w:val="32"/>
          <w:szCs w:val="32"/>
        </w:rPr>
      </w:pPr>
      <w:r w:rsidRPr="007B0A00">
        <w:rPr>
          <w:rFonts w:ascii="仿宋_GB2312" w:eastAsia="仿宋_GB2312" w:hAnsi="仿宋" w:hint="eastAsia"/>
          <w:color w:val="000000" w:themeColor="text1"/>
          <w:sz w:val="32"/>
          <w:szCs w:val="32"/>
        </w:rPr>
        <w:t>9.2风险管理的政策和程序</w:t>
      </w:r>
    </w:p>
    <w:p w:rsidR="007B0A00" w:rsidRPr="007B0A00" w:rsidRDefault="007B0A00" w:rsidP="007B0A00">
      <w:pPr>
        <w:shd w:val="clear" w:color="auto" w:fill="FFFFFF"/>
        <w:spacing w:line="560" w:lineRule="exact"/>
        <w:ind w:firstLine="640"/>
        <w:rPr>
          <w:rFonts w:ascii="仿宋_GB2312" w:eastAsia="仿宋_GB2312" w:hAnsi="仿宋"/>
          <w:color w:val="000000" w:themeColor="text1"/>
          <w:sz w:val="32"/>
          <w:szCs w:val="32"/>
        </w:rPr>
      </w:pPr>
      <w:r w:rsidRPr="007B0A00">
        <w:rPr>
          <w:rFonts w:ascii="仿宋_GB2312" w:eastAsia="仿宋_GB2312" w:hAnsi="仿宋" w:hint="eastAsia"/>
          <w:color w:val="000000" w:themeColor="text1"/>
          <w:sz w:val="32"/>
          <w:szCs w:val="32"/>
        </w:rPr>
        <w:t>本行风险管理政策涵盖风险管理的各个方面，并保持连续性、稳定性和适应性，主要内容包括：风险管理的组织、职责、范围和权限的安排;对已经开展的业务全面覆盖,特别是对开发、创新、拓展业务的风险审查；适当的风险管理限额和能够承担的风险水平；风险的识别、计量、监测和控制程序；采取的压力测试的情形和范围；设立风险信息的报告路径；对重大风险和突发风险的应急处理预案。本行依据省联社“三个维度、五个层次、十大机制”的全面风险管理体系为核心，始终把</w:t>
      </w:r>
      <w:r w:rsidR="00C16205">
        <w:rPr>
          <w:rFonts w:ascii="仿宋_GB2312" w:eastAsia="仿宋_GB2312" w:hAnsi="仿宋" w:hint="eastAsia"/>
          <w:color w:val="000000" w:themeColor="text1"/>
          <w:sz w:val="32"/>
          <w:szCs w:val="32"/>
        </w:rPr>
        <w:t>本</w:t>
      </w:r>
      <w:r w:rsidR="00C16205">
        <w:rPr>
          <w:rFonts w:ascii="仿宋_GB2312" w:eastAsia="仿宋_GB2312" w:hAnsi="仿宋" w:hint="eastAsia"/>
          <w:color w:val="000000" w:themeColor="text1"/>
          <w:sz w:val="32"/>
          <w:szCs w:val="32"/>
        </w:rPr>
        <w:lastRenderedPageBreak/>
        <w:t>行</w:t>
      </w:r>
      <w:r w:rsidRPr="007B0A00">
        <w:rPr>
          <w:rFonts w:ascii="仿宋_GB2312" w:eastAsia="仿宋_GB2312" w:hAnsi="仿宋" w:hint="eastAsia"/>
          <w:color w:val="000000" w:themeColor="text1"/>
          <w:sz w:val="32"/>
          <w:szCs w:val="32"/>
        </w:rPr>
        <w:t>风险控制在可承受的范围之内。建立风险合</w:t>
      </w:r>
      <w:proofErr w:type="gramStart"/>
      <w:r w:rsidRPr="007B0A00">
        <w:rPr>
          <w:rFonts w:ascii="仿宋_GB2312" w:eastAsia="仿宋_GB2312" w:hAnsi="仿宋" w:hint="eastAsia"/>
          <w:color w:val="000000" w:themeColor="text1"/>
          <w:sz w:val="32"/>
          <w:szCs w:val="32"/>
        </w:rPr>
        <w:t>规</w:t>
      </w:r>
      <w:proofErr w:type="gramEnd"/>
      <w:r w:rsidRPr="007B0A00">
        <w:rPr>
          <w:rFonts w:ascii="仿宋_GB2312" w:eastAsia="仿宋_GB2312" w:hAnsi="仿宋" w:hint="eastAsia"/>
          <w:color w:val="000000" w:themeColor="text1"/>
          <w:sz w:val="32"/>
          <w:szCs w:val="32"/>
        </w:rPr>
        <w:t>管理三道防线，总行各职能部门和各经营网点为第一道防线，风险管理委员会和风险合</w:t>
      </w:r>
      <w:proofErr w:type="gramStart"/>
      <w:r w:rsidRPr="007B0A00">
        <w:rPr>
          <w:rFonts w:ascii="仿宋_GB2312" w:eastAsia="仿宋_GB2312" w:hAnsi="仿宋" w:hint="eastAsia"/>
          <w:color w:val="000000" w:themeColor="text1"/>
          <w:sz w:val="32"/>
          <w:szCs w:val="32"/>
        </w:rPr>
        <w:t>规</w:t>
      </w:r>
      <w:proofErr w:type="gramEnd"/>
      <w:r w:rsidRPr="007B0A00">
        <w:rPr>
          <w:rFonts w:ascii="仿宋_GB2312" w:eastAsia="仿宋_GB2312" w:hAnsi="仿宋" w:hint="eastAsia"/>
          <w:color w:val="000000" w:themeColor="text1"/>
          <w:sz w:val="32"/>
          <w:szCs w:val="32"/>
        </w:rPr>
        <w:t>管理部门为第二道防线，内部审计委员会和审计、监察部门为第三道防线。</w:t>
      </w:r>
    </w:p>
    <w:p w:rsidR="007B0A00" w:rsidRPr="007B0A00" w:rsidRDefault="007B0A00" w:rsidP="007B0A00">
      <w:pPr>
        <w:shd w:val="clear" w:color="auto" w:fill="FFFFFF"/>
        <w:spacing w:line="560" w:lineRule="exact"/>
        <w:ind w:firstLine="640"/>
        <w:rPr>
          <w:rFonts w:ascii="仿宋_GB2312" w:eastAsia="仿宋_GB2312" w:hAnsi="仿宋"/>
          <w:color w:val="000000" w:themeColor="text1"/>
          <w:sz w:val="32"/>
          <w:szCs w:val="32"/>
        </w:rPr>
      </w:pPr>
      <w:r w:rsidRPr="007B0A00">
        <w:rPr>
          <w:rFonts w:ascii="仿宋_GB2312" w:eastAsia="仿宋_GB2312" w:hAnsi="仿宋" w:hint="eastAsia"/>
          <w:color w:val="000000" w:themeColor="text1"/>
          <w:sz w:val="32"/>
          <w:szCs w:val="32"/>
        </w:rPr>
        <w:t>9.3风险计量、检测和管理信息系统</w:t>
      </w:r>
    </w:p>
    <w:p w:rsidR="007B0A00" w:rsidRPr="007B0A00" w:rsidRDefault="007B0A00" w:rsidP="007B0A00">
      <w:pPr>
        <w:shd w:val="clear" w:color="auto" w:fill="FFFFFF"/>
        <w:spacing w:line="560" w:lineRule="exact"/>
        <w:ind w:firstLine="640"/>
        <w:rPr>
          <w:rFonts w:ascii="仿宋_GB2312" w:eastAsia="仿宋_GB2312" w:hAnsi="仿宋"/>
          <w:color w:val="000000" w:themeColor="text1"/>
          <w:sz w:val="32"/>
          <w:szCs w:val="32"/>
        </w:rPr>
      </w:pPr>
      <w:r w:rsidRPr="007B0A00">
        <w:rPr>
          <w:rFonts w:ascii="仿宋_GB2312" w:eastAsia="仿宋_GB2312" w:hAnsi="仿宋" w:hint="eastAsia"/>
          <w:color w:val="000000" w:themeColor="text1"/>
          <w:sz w:val="32"/>
          <w:szCs w:val="32"/>
        </w:rPr>
        <w:t>一是成立了专门的风险管理机构，风险管理基本能覆盖各主要风险，能够对信用风险、市场风险、利率风险、流动性风险、操作风险、法律风险及信誉风险等各类风险进行持续的监控；二是制定了识别、计量、监测和管理风险的制度、程序和方法，对主要资产业务——贷款，建立了信贷</w:t>
      </w:r>
      <w:proofErr w:type="gramStart"/>
      <w:r w:rsidRPr="007B0A00">
        <w:rPr>
          <w:rFonts w:ascii="仿宋_GB2312" w:eastAsia="仿宋_GB2312" w:hAnsi="仿宋" w:hint="eastAsia"/>
          <w:color w:val="000000" w:themeColor="text1"/>
          <w:sz w:val="32"/>
          <w:szCs w:val="32"/>
        </w:rPr>
        <w:t>咨</w:t>
      </w:r>
      <w:proofErr w:type="gramEnd"/>
      <w:r w:rsidRPr="007B0A00">
        <w:rPr>
          <w:rFonts w:ascii="仿宋_GB2312" w:eastAsia="仿宋_GB2312" w:hAnsi="仿宋" w:hint="eastAsia"/>
          <w:color w:val="000000" w:themeColor="text1"/>
          <w:sz w:val="32"/>
          <w:szCs w:val="32"/>
        </w:rPr>
        <w:t>信查询系统，采取了贷款五级分类管理、信用评级等管理机制；三是针对不断变化的环境和情况及时修改和完善风险控制的制度、方法和手段，以控制新出现的风险或以前未能控制的风险。有较完善的产品定价机制，能做到成本可算、风险可控。</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9.4 内部控制和全面审计情况</w:t>
      </w:r>
    </w:p>
    <w:p w:rsidR="006D2801" w:rsidRDefault="00C70A09">
      <w:pPr>
        <w:pStyle w:val="a5"/>
        <w:widowControl w:val="0"/>
        <w:shd w:val="clear" w:color="auto" w:fill="FFFFFF"/>
        <w:spacing w:before="0" w:beforeAutospacing="0" w:after="0" w:afterAutospacing="0" w:line="560" w:lineRule="exact"/>
        <w:ind w:firstLineChars="200" w:firstLine="640"/>
        <w:jc w:val="both"/>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9.4.1.贯彻省联社审计工作意见。一是积极</w:t>
      </w:r>
      <w:proofErr w:type="gramStart"/>
      <w:r>
        <w:rPr>
          <w:rFonts w:ascii="仿宋_GB2312" w:eastAsia="仿宋_GB2312" w:hint="eastAsia"/>
          <w:color w:val="000000" w:themeColor="text1"/>
          <w:kern w:val="2"/>
          <w:sz w:val="32"/>
          <w:szCs w:val="32"/>
        </w:rPr>
        <w:t>对接省联社</w:t>
      </w:r>
      <w:proofErr w:type="gramEnd"/>
      <w:r>
        <w:rPr>
          <w:rFonts w:ascii="仿宋_GB2312" w:eastAsia="仿宋_GB2312" w:hint="eastAsia"/>
          <w:color w:val="000000" w:themeColor="text1"/>
          <w:kern w:val="2"/>
          <w:sz w:val="32"/>
          <w:szCs w:val="32"/>
        </w:rPr>
        <w:t>开展的6项专项审计、检查，及时、真实、客观、全面地提供相关文件、资料和数据；二是按照省联社的工作部署，根据本行实际，组织开展本行关联交易、反洗钱、金融消费者保护、征信管理、小额信贷风险、不良资产处置合</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性、全面风险管理、柜面业务专项审计等专项审计项目，不断规范内部控制体系，促进依法合</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经营。</w:t>
      </w:r>
    </w:p>
    <w:p w:rsidR="006D2801" w:rsidRDefault="00C70A09">
      <w:pPr>
        <w:spacing w:line="560" w:lineRule="exact"/>
        <w:ind w:firstLineChars="200" w:firstLine="640"/>
        <w:jc w:val="left"/>
        <w:rPr>
          <w:rFonts w:ascii="仿宋_GB2312" w:eastAsia="仿宋_GB2312"/>
          <w:color w:val="000000" w:themeColor="text1"/>
          <w:sz w:val="32"/>
          <w:szCs w:val="32"/>
        </w:rPr>
      </w:pPr>
      <w:r>
        <w:rPr>
          <w:rFonts w:ascii="仿宋_GB2312" w:eastAsia="仿宋_GB2312" w:hAnsi="宋体" w:cs="宋体" w:hint="eastAsia"/>
          <w:color w:val="000000" w:themeColor="text1"/>
          <w:sz w:val="32"/>
          <w:szCs w:val="32"/>
        </w:rPr>
        <w:t>9.4.2.强化审计监督效能。一是指出了基层单位在执行内控制度、柜面业务操作和文明服务方面存在的问题和不足。二</w:t>
      </w:r>
      <w:r>
        <w:rPr>
          <w:rFonts w:ascii="仿宋_GB2312" w:eastAsia="仿宋_GB2312" w:hAnsi="宋体" w:cs="宋体" w:hint="eastAsia"/>
          <w:color w:val="000000" w:themeColor="text1"/>
          <w:sz w:val="32"/>
          <w:szCs w:val="32"/>
        </w:rPr>
        <w:lastRenderedPageBreak/>
        <w:t>是对我行金融消费者权益保护管理在各层级履职、宣传教育、投诉管理、考核评价等方面，征信管理在业务培训、检查、考核及评价方面以及反洗钱管理在组织机构履职、客户身份识别、持续识别、大额、可疑、恐怖融资交易的识别和报告、反洗</w:t>
      </w:r>
      <w:proofErr w:type="gramStart"/>
      <w:r>
        <w:rPr>
          <w:rFonts w:ascii="仿宋_GB2312" w:eastAsia="仿宋_GB2312" w:hAnsi="宋体" w:cs="宋体" w:hint="eastAsia"/>
          <w:color w:val="000000" w:themeColor="text1"/>
          <w:sz w:val="32"/>
          <w:szCs w:val="32"/>
        </w:rPr>
        <w:t>钱培训</w:t>
      </w:r>
      <w:proofErr w:type="gramEnd"/>
      <w:r>
        <w:rPr>
          <w:rFonts w:ascii="仿宋_GB2312" w:eastAsia="仿宋_GB2312" w:hAnsi="宋体" w:cs="宋体" w:hint="eastAsia"/>
          <w:color w:val="000000" w:themeColor="text1"/>
          <w:sz w:val="32"/>
          <w:szCs w:val="32"/>
        </w:rPr>
        <w:t>与宣传等方面提出了整改建议；三是要求总行相关部门和基层网点强化柜面业务管理，规范柜面业务操作，防控柜面业务风险，全面提升柜面服务水平；四是对审计过程中发现的问题，及时下达整改建议，建立</w:t>
      </w:r>
      <w:proofErr w:type="gramStart"/>
      <w:r>
        <w:rPr>
          <w:rFonts w:ascii="仿宋_GB2312" w:eastAsia="仿宋_GB2312" w:hAnsi="宋体" w:cs="宋体" w:hint="eastAsia"/>
          <w:color w:val="000000" w:themeColor="text1"/>
          <w:sz w:val="32"/>
          <w:szCs w:val="32"/>
        </w:rPr>
        <w:t>整改台</w:t>
      </w:r>
      <w:proofErr w:type="gramEnd"/>
      <w:r>
        <w:rPr>
          <w:rFonts w:ascii="仿宋_GB2312" w:eastAsia="仿宋_GB2312" w:hAnsi="宋体" w:cs="宋体" w:hint="eastAsia"/>
          <w:color w:val="000000" w:themeColor="text1"/>
          <w:sz w:val="32"/>
          <w:szCs w:val="32"/>
        </w:rPr>
        <w:t>账，限期整改；五是对违规责任加大了问责力度，全年</w:t>
      </w:r>
      <w:r w:rsidR="00C16205">
        <w:rPr>
          <w:rFonts w:ascii="仿宋_GB2312" w:eastAsia="仿宋_GB2312" w:hAnsi="宋体" w:cs="宋体" w:hint="eastAsia"/>
          <w:color w:val="000000" w:themeColor="text1"/>
          <w:sz w:val="32"/>
          <w:szCs w:val="32"/>
        </w:rPr>
        <w:t>本行</w:t>
      </w:r>
      <w:r>
        <w:rPr>
          <w:rFonts w:ascii="仿宋_GB2312" w:eastAsia="仿宋_GB2312" w:hAnsi="宋体" w:cs="宋体" w:hint="eastAsia"/>
          <w:color w:val="000000" w:themeColor="text1"/>
          <w:sz w:val="32"/>
          <w:szCs w:val="32"/>
        </w:rPr>
        <w:t>责任追究涉及</w:t>
      </w:r>
      <w:r>
        <w:rPr>
          <w:rFonts w:ascii="仿宋_GB2312" w:eastAsia="仿宋_GB2312" w:hint="eastAsia"/>
          <w:color w:val="000000" w:themeColor="text1"/>
          <w:sz w:val="32"/>
          <w:szCs w:val="32"/>
        </w:rPr>
        <w:t>106人次，其中警告5人次，经济处罚97人次，行内通报及批评教育4人次，处罚金额102524.91元</w:t>
      </w:r>
      <w:r>
        <w:rPr>
          <w:rFonts w:ascii="仿宋_GB2312" w:eastAsia="仿宋_GB2312" w:hAnsi="宋体" w:cs="宋体" w:hint="eastAsia"/>
          <w:color w:val="000000" w:themeColor="text1"/>
          <w:sz w:val="32"/>
          <w:szCs w:val="32"/>
        </w:rPr>
        <w:t>，为各项业务的正常发展发挥了积极的指导和监督作用。</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9.5信用风险状况</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9.51信用风险管理</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信用风险管理组织架构分为信贷业务、信贷审批和风险管理三部分；风险管理和控制政策方面，一是建立了审贷分离相互制衡的风险控制体系；二是加强对分支机构资产质量考核和风险责任人制度；三是在加强对不良资产的重点监控与管理等方面明确了相关措施。</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9.52资产风险分类的程序和方法</w:t>
      </w:r>
    </w:p>
    <w:p w:rsidR="006D2801" w:rsidRDefault="00C70A09">
      <w:pPr>
        <w:shd w:val="clear" w:color="auto" w:fill="FFFFFF"/>
        <w:spacing w:line="560" w:lineRule="exact"/>
        <w:ind w:firstLine="640"/>
        <w:rPr>
          <w:rFonts w:ascii="宋体" w:hAnsi="宋体" w:cs="宋体"/>
          <w:color w:val="000000" w:themeColor="text1"/>
          <w:sz w:val="24"/>
        </w:rPr>
      </w:pPr>
      <w:r>
        <w:rPr>
          <w:rFonts w:ascii="仿宋_GB2312" w:eastAsia="仿宋_GB2312" w:hAnsi="宋体" w:cs="宋体" w:hint="eastAsia"/>
          <w:color w:val="000000" w:themeColor="text1"/>
          <w:sz w:val="32"/>
          <w:szCs w:val="32"/>
        </w:rPr>
        <w:t>本行按照审慎经营、风险防范为本的管理理念，对信贷资产进行五级分类，根据安全履行合同，及时足额偿还的可能性将信贷资产分为正常、关注、次级、可疑和损失五个类别，后三类合称为不良信贷资产，以揭示信贷资产实际价值和风险程</w:t>
      </w:r>
      <w:r>
        <w:rPr>
          <w:rFonts w:ascii="仿宋_GB2312" w:eastAsia="仿宋_GB2312" w:hAnsi="宋体" w:cs="宋体" w:hint="eastAsia"/>
          <w:color w:val="000000" w:themeColor="text1"/>
          <w:sz w:val="32"/>
          <w:szCs w:val="32"/>
        </w:rPr>
        <w:lastRenderedPageBreak/>
        <w:t>度，真实、全面、动态地反映信贷资产质量。信贷资产风险分类是在对借款人经营状况、财务状况、担保、非财务等各项因素进行全面、综合分析的基础上，按照分类标准进行分类。信贷资产风险分类实行实时初分，分级认定，超限报批，按季度汇总分析。</w:t>
      </w:r>
    </w:p>
    <w:p w:rsidR="006D2801" w:rsidRDefault="00C70A09">
      <w:pPr>
        <w:shd w:val="clear" w:color="auto" w:fill="FFFFFF"/>
        <w:spacing w:line="560" w:lineRule="exact"/>
        <w:ind w:firstLine="640"/>
        <w:rPr>
          <w:rFonts w:ascii="黑体" w:eastAsia="黑体" w:hAnsi="黑体" w:cs="宋体"/>
          <w:color w:val="000000" w:themeColor="text1"/>
          <w:sz w:val="32"/>
          <w:szCs w:val="32"/>
        </w:rPr>
      </w:pPr>
      <w:r>
        <w:rPr>
          <w:rFonts w:ascii="仿宋_GB2312" w:eastAsia="仿宋_GB2312" w:hAnsi="宋体" w:cs="宋体" w:hint="eastAsia"/>
          <w:color w:val="000000" w:themeColor="text1"/>
          <w:sz w:val="32"/>
          <w:szCs w:val="32"/>
        </w:rPr>
        <w:t>9.53信贷资产分布情况</w:t>
      </w:r>
    </w:p>
    <w:p w:rsidR="006D2801" w:rsidRDefault="00C70A09">
      <w:pPr>
        <w:shd w:val="clear" w:color="auto" w:fill="FFFFFF"/>
        <w:spacing w:line="560" w:lineRule="exact"/>
        <w:ind w:firstLine="640"/>
        <w:rPr>
          <w:rFonts w:ascii="仿宋_GB2312" w:eastAsia="仿宋_GB2312" w:hAnsi="黑体" w:cs="宋体"/>
          <w:bCs/>
          <w:color w:val="000000" w:themeColor="text1"/>
          <w:sz w:val="32"/>
          <w:szCs w:val="32"/>
        </w:rPr>
      </w:pPr>
      <w:r>
        <w:rPr>
          <w:rFonts w:ascii="仿宋_GB2312" w:eastAsia="仿宋_GB2312" w:hAnsi="黑体" w:cs="宋体" w:hint="eastAsia"/>
          <w:color w:val="000000" w:themeColor="text1"/>
          <w:sz w:val="32"/>
          <w:szCs w:val="32"/>
        </w:rPr>
        <w:t>本行以“立足县域，服务社区，支农支小”为市场定位，重点满足“三农”及小</w:t>
      </w:r>
      <w:proofErr w:type="gramStart"/>
      <w:r>
        <w:rPr>
          <w:rFonts w:ascii="仿宋_GB2312" w:eastAsia="仿宋_GB2312" w:hAnsi="黑体" w:cs="宋体" w:hint="eastAsia"/>
          <w:color w:val="000000" w:themeColor="text1"/>
          <w:sz w:val="32"/>
          <w:szCs w:val="32"/>
        </w:rPr>
        <w:t>微企业</w:t>
      </w:r>
      <w:proofErr w:type="gramEnd"/>
      <w:r>
        <w:rPr>
          <w:rFonts w:ascii="仿宋_GB2312" w:eastAsia="仿宋_GB2312" w:hAnsi="黑体" w:cs="宋体" w:hint="eastAsia"/>
          <w:color w:val="000000" w:themeColor="text1"/>
          <w:sz w:val="32"/>
          <w:szCs w:val="32"/>
        </w:rPr>
        <w:t>的信贷需求，大力拓宽服务领域，不断创新服务手段，大力促进城乡经济协调发展，贷款分布主要集中在农、林、牧、渔业，批发和零售业、个人贷款等方面。</w:t>
      </w:r>
    </w:p>
    <w:tbl>
      <w:tblPr>
        <w:tblW w:w="7940" w:type="dxa"/>
        <w:jc w:val="center"/>
        <w:tblLook w:val="04A0"/>
      </w:tblPr>
      <w:tblGrid>
        <w:gridCol w:w="417"/>
        <w:gridCol w:w="2190"/>
        <w:gridCol w:w="1279"/>
        <w:gridCol w:w="1378"/>
        <w:gridCol w:w="1378"/>
        <w:gridCol w:w="1298"/>
      </w:tblGrid>
      <w:tr w:rsidR="00F90C7C" w:rsidRPr="00FB40B5" w:rsidTr="004B52FD">
        <w:trPr>
          <w:trHeight w:val="270"/>
          <w:tblHeader/>
          <w:jc w:val="center"/>
        </w:trPr>
        <w:tc>
          <w:tcPr>
            <w:tcW w:w="400" w:type="dxa"/>
            <w:tcBorders>
              <w:top w:val="nil"/>
              <w:left w:val="nil"/>
              <w:bottom w:val="nil"/>
              <w:right w:val="nil"/>
            </w:tcBorders>
            <w:shd w:val="clear" w:color="auto" w:fill="auto"/>
            <w:vAlign w:val="center"/>
            <w:hideMark/>
          </w:tcPr>
          <w:p w:rsidR="00F90C7C" w:rsidRPr="00FB40B5" w:rsidRDefault="00F90C7C" w:rsidP="004B52FD">
            <w:pPr>
              <w:widowControl/>
              <w:rPr>
                <w:rFonts w:ascii="宋体" w:hAnsi="宋体" w:cs="宋体"/>
                <w:b/>
                <w:bCs/>
                <w:kern w:val="0"/>
                <w:szCs w:val="21"/>
              </w:rPr>
            </w:pPr>
          </w:p>
        </w:tc>
        <w:tc>
          <w:tcPr>
            <w:tcW w:w="2200" w:type="dxa"/>
            <w:tcBorders>
              <w:top w:val="nil"/>
              <w:left w:val="nil"/>
              <w:bottom w:val="nil"/>
              <w:right w:val="nil"/>
            </w:tcBorders>
            <w:shd w:val="clear" w:color="auto" w:fill="auto"/>
            <w:vAlign w:val="center"/>
            <w:hideMark/>
          </w:tcPr>
          <w:p w:rsidR="00F90C7C" w:rsidRPr="00FB40B5" w:rsidRDefault="00F90C7C" w:rsidP="004B52FD">
            <w:pPr>
              <w:widowControl/>
              <w:rPr>
                <w:rFonts w:ascii="宋体" w:hAnsi="宋体" w:cs="宋体"/>
                <w:kern w:val="0"/>
                <w:szCs w:val="21"/>
              </w:rPr>
            </w:pPr>
          </w:p>
        </w:tc>
        <w:tc>
          <w:tcPr>
            <w:tcW w:w="1280" w:type="dxa"/>
            <w:tcBorders>
              <w:top w:val="nil"/>
              <w:left w:val="nil"/>
              <w:bottom w:val="nil"/>
              <w:right w:val="nil"/>
            </w:tcBorders>
            <w:shd w:val="clear" w:color="auto" w:fill="auto"/>
            <w:vAlign w:val="center"/>
            <w:hideMark/>
          </w:tcPr>
          <w:p w:rsidR="00F90C7C" w:rsidRPr="00FB40B5" w:rsidRDefault="00F90C7C" w:rsidP="004B52FD">
            <w:pPr>
              <w:widowControl/>
              <w:rPr>
                <w:rFonts w:ascii="宋体" w:hAnsi="宋体" w:cs="宋体"/>
                <w:kern w:val="0"/>
                <w:szCs w:val="21"/>
              </w:rPr>
            </w:pPr>
          </w:p>
        </w:tc>
        <w:tc>
          <w:tcPr>
            <w:tcW w:w="1380" w:type="dxa"/>
            <w:tcBorders>
              <w:top w:val="nil"/>
              <w:left w:val="nil"/>
              <w:bottom w:val="nil"/>
              <w:right w:val="nil"/>
            </w:tcBorders>
            <w:shd w:val="clear" w:color="auto" w:fill="auto"/>
            <w:vAlign w:val="center"/>
            <w:hideMark/>
          </w:tcPr>
          <w:p w:rsidR="00F90C7C" w:rsidRPr="00FB40B5" w:rsidRDefault="00F90C7C" w:rsidP="004B52FD">
            <w:pPr>
              <w:widowControl/>
              <w:rPr>
                <w:rFonts w:ascii="宋体" w:hAnsi="宋体" w:cs="宋体"/>
                <w:kern w:val="0"/>
                <w:szCs w:val="21"/>
              </w:rPr>
            </w:pPr>
          </w:p>
        </w:tc>
        <w:tc>
          <w:tcPr>
            <w:tcW w:w="2680" w:type="dxa"/>
            <w:gridSpan w:val="2"/>
            <w:tcBorders>
              <w:top w:val="nil"/>
              <w:left w:val="nil"/>
              <w:bottom w:val="single" w:sz="4" w:space="0" w:color="auto"/>
              <w:right w:val="nil"/>
            </w:tcBorders>
            <w:shd w:val="clear" w:color="auto" w:fill="auto"/>
            <w:vAlign w:val="center"/>
            <w:hideMark/>
          </w:tcPr>
          <w:p w:rsidR="00F90C7C" w:rsidRPr="00FB40B5" w:rsidRDefault="00F90C7C" w:rsidP="004B52FD">
            <w:pPr>
              <w:widowControl/>
              <w:jc w:val="right"/>
              <w:rPr>
                <w:rFonts w:ascii="宋体" w:hAnsi="宋体" w:cs="宋体"/>
                <w:kern w:val="0"/>
                <w:szCs w:val="21"/>
              </w:rPr>
            </w:pPr>
            <w:r w:rsidRPr="00FB40B5">
              <w:rPr>
                <w:rFonts w:ascii="宋体" w:hAnsi="宋体" w:cs="宋体" w:hint="eastAsia"/>
                <w:kern w:val="0"/>
                <w:szCs w:val="21"/>
              </w:rPr>
              <w:t>单位：人民币(万元)</w:t>
            </w:r>
          </w:p>
        </w:tc>
      </w:tr>
      <w:tr w:rsidR="00F90C7C" w:rsidRPr="00FB40B5" w:rsidTr="004B52FD">
        <w:trPr>
          <w:trHeight w:val="495"/>
          <w:tblHeader/>
          <w:jc w:val="center"/>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项目分类</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名称</w:t>
            </w:r>
          </w:p>
        </w:tc>
        <w:tc>
          <w:tcPr>
            <w:tcW w:w="5340" w:type="dxa"/>
            <w:gridSpan w:val="4"/>
            <w:tcBorders>
              <w:top w:val="single" w:sz="4" w:space="0" w:color="auto"/>
              <w:left w:val="nil"/>
              <w:bottom w:val="single" w:sz="4" w:space="0" w:color="auto"/>
              <w:right w:val="single" w:sz="4" w:space="0" w:color="auto"/>
            </w:tcBorders>
            <w:shd w:val="clear" w:color="000000" w:fill="FFFF00"/>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2023年末各项贷款</w:t>
            </w:r>
          </w:p>
        </w:tc>
      </w:tr>
      <w:tr w:rsidR="00F90C7C" w:rsidRPr="00FB40B5" w:rsidTr="004B52FD">
        <w:trPr>
          <w:trHeight w:val="1155"/>
          <w:tblHeader/>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合计</w:t>
            </w:r>
          </w:p>
        </w:tc>
        <w:tc>
          <w:tcPr>
            <w:tcW w:w="1380" w:type="dxa"/>
            <w:tcBorders>
              <w:top w:val="nil"/>
              <w:left w:val="nil"/>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企业贷款年末余额</w:t>
            </w:r>
          </w:p>
        </w:tc>
        <w:tc>
          <w:tcPr>
            <w:tcW w:w="1380" w:type="dxa"/>
            <w:tcBorders>
              <w:top w:val="nil"/>
              <w:left w:val="nil"/>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个人贷款年末余额</w:t>
            </w:r>
          </w:p>
        </w:tc>
        <w:tc>
          <w:tcPr>
            <w:tcW w:w="1300" w:type="dxa"/>
            <w:tcBorders>
              <w:top w:val="nil"/>
              <w:left w:val="nil"/>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票据贴现年末余额</w:t>
            </w:r>
          </w:p>
        </w:tc>
      </w:tr>
      <w:tr w:rsidR="00F90C7C" w:rsidRPr="00FB40B5" w:rsidTr="004B52FD">
        <w:trPr>
          <w:trHeight w:val="480"/>
          <w:jc w:val="center"/>
        </w:trPr>
        <w:tc>
          <w:tcPr>
            <w:tcW w:w="2600" w:type="dxa"/>
            <w:gridSpan w:val="2"/>
            <w:tcBorders>
              <w:top w:val="single" w:sz="4" w:space="0" w:color="auto"/>
              <w:left w:val="single" w:sz="4" w:space="0" w:color="auto"/>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各项贷款(含票据、信用卡)</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264185.86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38961.48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186070.30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39154.08</w:t>
            </w:r>
          </w:p>
        </w:tc>
      </w:tr>
      <w:tr w:rsidR="00F90C7C" w:rsidRPr="00FB40B5" w:rsidTr="004B52FD">
        <w:trPr>
          <w:trHeight w:val="540"/>
          <w:jc w:val="center"/>
        </w:trPr>
        <w:tc>
          <w:tcPr>
            <w:tcW w:w="400" w:type="dxa"/>
            <w:vMerge w:val="restart"/>
            <w:tcBorders>
              <w:top w:val="nil"/>
              <w:left w:val="single" w:sz="4" w:space="0" w:color="auto"/>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贷款类型</w:t>
            </w: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消费贷款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50958.05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0.00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50958.05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经营贷款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173998.46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38961.48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135036.98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固定资产贷款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0.00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0.00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0.00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透支(信用卡、公务卡)</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75.27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0.00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75.27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val="restart"/>
            <w:tcBorders>
              <w:top w:val="nil"/>
              <w:left w:val="single" w:sz="4" w:space="0" w:color="auto"/>
              <w:bottom w:val="single" w:sz="4" w:space="0" w:color="auto"/>
              <w:right w:val="single" w:sz="4" w:space="0" w:color="auto"/>
            </w:tcBorders>
            <w:shd w:val="clear" w:color="000000" w:fill="FFC000"/>
            <w:vAlign w:val="center"/>
            <w:hideMark/>
          </w:tcPr>
          <w:p w:rsidR="00F90C7C" w:rsidRPr="00FB40B5" w:rsidRDefault="00F90C7C" w:rsidP="004B52FD">
            <w:pPr>
              <w:widowControl/>
              <w:jc w:val="center"/>
              <w:rPr>
                <w:rFonts w:ascii="宋体" w:hAnsi="宋体" w:cs="宋体"/>
                <w:b/>
                <w:bCs/>
                <w:kern w:val="0"/>
                <w:sz w:val="20"/>
                <w:szCs w:val="20"/>
              </w:rPr>
            </w:pPr>
            <w:r w:rsidRPr="00FB40B5">
              <w:rPr>
                <w:rFonts w:ascii="宋体" w:hAnsi="宋体" w:cs="宋体" w:hint="eastAsia"/>
                <w:b/>
                <w:bCs/>
                <w:kern w:val="0"/>
                <w:sz w:val="20"/>
                <w:szCs w:val="20"/>
              </w:rPr>
              <w:t>贷款担保方式</w:t>
            </w: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质押贷款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5781.19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3115.00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2666.19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抵押贷款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69760.03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15996.73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53763.30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保证贷款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37726.73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19367.75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18358.98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　</w:t>
            </w:r>
          </w:p>
        </w:tc>
      </w:tr>
      <w:tr w:rsidR="00F90C7C" w:rsidRPr="00FB40B5" w:rsidTr="004B52FD">
        <w:trPr>
          <w:trHeight w:val="540"/>
          <w:jc w:val="center"/>
        </w:trPr>
        <w:tc>
          <w:tcPr>
            <w:tcW w:w="400" w:type="dxa"/>
            <w:vMerge/>
            <w:tcBorders>
              <w:top w:val="nil"/>
              <w:left w:val="single" w:sz="4" w:space="0" w:color="auto"/>
              <w:bottom w:val="single" w:sz="4" w:space="0" w:color="auto"/>
              <w:right w:val="single" w:sz="4" w:space="0" w:color="auto"/>
            </w:tcBorders>
            <w:vAlign w:val="center"/>
            <w:hideMark/>
          </w:tcPr>
          <w:p w:rsidR="00F90C7C" w:rsidRPr="00FB40B5" w:rsidRDefault="00F90C7C" w:rsidP="004B52FD">
            <w:pPr>
              <w:widowControl/>
              <w:jc w:val="left"/>
              <w:rPr>
                <w:rFonts w:ascii="宋体" w:hAnsi="宋体" w:cs="宋体"/>
                <w:b/>
                <w:bCs/>
                <w:kern w:val="0"/>
                <w:sz w:val="20"/>
                <w:szCs w:val="20"/>
              </w:rPr>
            </w:pPr>
          </w:p>
        </w:tc>
        <w:tc>
          <w:tcPr>
            <w:tcW w:w="22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信用/免担保贷款</w:t>
            </w:r>
          </w:p>
        </w:tc>
        <w:tc>
          <w:tcPr>
            <w:tcW w:w="12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111763.83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482.00 </w:t>
            </w:r>
          </w:p>
        </w:tc>
        <w:tc>
          <w:tcPr>
            <w:tcW w:w="138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jc w:val="center"/>
              <w:rPr>
                <w:rFonts w:ascii="宋体" w:hAnsi="宋体" w:cs="宋体"/>
                <w:kern w:val="0"/>
                <w:sz w:val="20"/>
                <w:szCs w:val="20"/>
              </w:rPr>
            </w:pPr>
            <w:r w:rsidRPr="00FB40B5">
              <w:rPr>
                <w:rFonts w:ascii="宋体" w:hAnsi="宋体" w:cs="宋体" w:hint="eastAsia"/>
                <w:kern w:val="0"/>
                <w:sz w:val="20"/>
                <w:szCs w:val="20"/>
              </w:rPr>
              <w:t xml:space="preserve">111281.83 </w:t>
            </w:r>
          </w:p>
        </w:tc>
        <w:tc>
          <w:tcPr>
            <w:tcW w:w="1300" w:type="dxa"/>
            <w:tcBorders>
              <w:top w:val="nil"/>
              <w:left w:val="nil"/>
              <w:bottom w:val="single" w:sz="4" w:space="0" w:color="auto"/>
              <w:right w:val="single" w:sz="4" w:space="0" w:color="auto"/>
            </w:tcBorders>
            <w:shd w:val="clear" w:color="auto" w:fill="auto"/>
            <w:vAlign w:val="center"/>
            <w:hideMark/>
          </w:tcPr>
          <w:p w:rsidR="00F90C7C" w:rsidRPr="00FB40B5" w:rsidRDefault="00F90C7C" w:rsidP="004B52FD">
            <w:pPr>
              <w:widowControl/>
              <w:rPr>
                <w:rFonts w:ascii="宋体" w:hAnsi="宋体" w:cs="宋体"/>
                <w:kern w:val="0"/>
                <w:sz w:val="20"/>
                <w:szCs w:val="20"/>
              </w:rPr>
            </w:pPr>
            <w:r w:rsidRPr="00FB40B5">
              <w:rPr>
                <w:rFonts w:ascii="宋体" w:hAnsi="宋体" w:cs="宋体" w:hint="eastAsia"/>
                <w:kern w:val="0"/>
                <w:sz w:val="20"/>
                <w:szCs w:val="20"/>
              </w:rPr>
              <w:t xml:space="preserve">　</w:t>
            </w:r>
          </w:p>
        </w:tc>
      </w:tr>
    </w:tbl>
    <w:p w:rsidR="006D2801" w:rsidRDefault="006D2801">
      <w:pPr>
        <w:shd w:val="clear" w:color="auto" w:fill="FFFFFF"/>
        <w:spacing w:line="560" w:lineRule="exact"/>
        <w:rPr>
          <w:rFonts w:ascii="仿宋_GB2312" w:eastAsia="仿宋_GB2312" w:hAnsi="黑体" w:cs="宋体"/>
          <w:bCs/>
          <w:color w:val="000000" w:themeColor="text1"/>
          <w:sz w:val="32"/>
          <w:szCs w:val="32"/>
        </w:rPr>
      </w:pP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9.54信用风险集中程度</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lang w:val="zh-CN"/>
        </w:rPr>
      </w:pPr>
      <w:r>
        <w:rPr>
          <w:rFonts w:ascii="仿宋_GB2312" w:eastAsia="仿宋_GB2312" w:hAnsi="宋体" w:cs="宋体" w:hint="eastAsia"/>
          <w:color w:val="000000" w:themeColor="text1"/>
          <w:sz w:val="32"/>
          <w:szCs w:val="32"/>
          <w:lang w:val="zh-CN"/>
        </w:rPr>
        <w:lastRenderedPageBreak/>
        <w:t>授信集中度较为合理，符合监管要求比例。2023年末，单一集团客户授信集中度为6.</w:t>
      </w:r>
      <w:r>
        <w:rPr>
          <w:rFonts w:ascii="仿宋_GB2312" w:eastAsia="仿宋_GB2312" w:hAnsi="宋体" w:cs="宋体" w:hint="eastAsia"/>
          <w:color w:val="000000" w:themeColor="text1"/>
          <w:sz w:val="32"/>
          <w:szCs w:val="32"/>
        </w:rPr>
        <w:t>11</w:t>
      </w:r>
      <w:r>
        <w:rPr>
          <w:rFonts w:ascii="仿宋_GB2312" w:eastAsia="仿宋_GB2312" w:hAnsi="宋体" w:cs="宋体" w:hint="eastAsia"/>
          <w:color w:val="000000" w:themeColor="text1"/>
          <w:sz w:val="32"/>
          <w:szCs w:val="32"/>
          <w:lang w:val="zh-CN"/>
        </w:rPr>
        <w:t>%，较年初下降0.</w:t>
      </w:r>
      <w:r>
        <w:rPr>
          <w:rFonts w:ascii="仿宋_GB2312" w:eastAsia="仿宋_GB2312" w:hAnsi="宋体" w:cs="宋体" w:hint="eastAsia"/>
          <w:color w:val="000000" w:themeColor="text1"/>
          <w:sz w:val="32"/>
          <w:szCs w:val="32"/>
        </w:rPr>
        <w:t>46</w:t>
      </w:r>
      <w:r>
        <w:rPr>
          <w:rFonts w:ascii="仿宋_GB2312" w:eastAsia="仿宋_GB2312" w:hAnsi="宋体" w:cs="宋体" w:hint="eastAsia"/>
          <w:color w:val="000000" w:themeColor="text1"/>
          <w:sz w:val="32"/>
          <w:szCs w:val="32"/>
          <w:lang w:val="zh-CN"/>
        </w:rPr>
        <w:t>个百分点；全部关联度</w:t>
      </w:r>
      <w:r>
        <w:rPr>
          <w:rFonts w:ascii="仿宋_GB2312" w:eastAsia="仿宋_GB2312" w:hAnsi="宋体" w:cs="宋体" w:hint="eastAsia"/>
          <w:color w:val="000000" w:themeColor="text1"/>
          <w:sz w:val="32"/>
          <w:szCs w:val="32"/>
        </w:rPr>
        <w:t>9.66</w:t>
      </w:r>
      <w:r>
        <w:rPr>
          <w:rFonts w:ascii="仿宋_GB2312" w:eastAsia="仿宋_GB2312" w:hAnsi="宋体" w:cs="宋体" w:hint="eastAsia"/>
          <w:color w:val="000000" w:themeColor="text1"/>
          <w:sz w:val="32"/>
          <w:szCs w:val="32"/>
          <w:lang w:val="zh-CN"/>
        </w:rPr>
        <w:t>%，较年初下降</w:t>
      </w:r>
      <w:r>
        <w:rPr>
          <w:rFonts w:ascii="仿宋_GB2312" w:eastAsia="仿宋_GB2312" w:hAnsi="宋体" w:cs="宋体" w:hint="eastAsia"/>
          <w:color w:val="000000" w:themeColor="text1"/>
          <w:sz w:val="32"/>
          <w:szCs w:val="32"/>
        </w:rPr>
        <w:t>1.74</w:t>
      </w:r>
      <w:r>
        <w:rPr>
          <w:rFonts w:ascii="仿宋_GB2312" w:eastAsia="仿宋_GB2312" w:hAnsi="宋体" w:cs="宋体" w:hint="eastAsia"/>
          <w:color w:val="000000" w:themeColor="text1"/>
          <w:sz w:val="32"/>
          <w:szCs w:val="32"/>
          <w:lang w:val="zh-CN"/>
        </w:rPr>
        <w:t>个百分点，均在监管要求比例之内。</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lang w:val="zh-CN"/>
        </w:rPr>
      </w:pPr>
      <w:r>
        <w:rPr>
          <w:rFonts w:ascii="仿宋_GB2312" w:eastAsia="仿宋_GB2312" w:hAnsi="宋体" w:cs="宋体" w:hint="eastAsia"/>
          <w:color w:val="000000" w:themeColor="text1"/>
          <w:sz w:val="32"/>
          <w:szCs w:val="32"/>
          <w:lang w:val="zh-CN"/>
        </w:rPr>
        <w:t>9.6流动性风险状况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lang w:val="zh-CN"/>
        </w:rPr>
      </w:pPr>
      <w:r>
        <w:rPr>
          <w:rFonts w:ascii="仿宋_GB2312" w:eastAsia="仿宋_GB2312" w:hAnsi="宋体" w:cs="宋体" w:hint="eastAsia"/>
          <w:color w:val="000000" w:themeColor="text1"/>
          <w:sz w:val="32"/>
          <w:szCs w:val="32"/>
          <w:lang w:val="zh-CN"/>
        </w:rPr>
        <w:t>流动性比例符合监管要求。2023年末，流动性比例为3</w:t>
      </w:r>
      <w:r>
        <w:rPr>
          <w:rFonts w:ascii="仿宋_GB2312" w:eastAsia="仿宋_GB2312" w:hAnsi="宋体" w:cs="宋体" w:hint="eastAsia"/>
          <w:color w:val="000000" w:themeColor="text1"/>
          <w:sz w:val="32"/>
          <w:szCs w:val="32"/>
        </w:rPr>
        <w:t>3</w:t>
      </w:r>
      <w:r>
        <w:rPr>
          <w:rFonts w:ascii="仿宋_GB2312" w:eastAsia="仿宋_GB2312" w:hAnsi="宋体" w:cs="宋体" w:hint="eastAsia"/>
          <w:color w:val="000000" w:themeColor="text1"/>
          <w:sz w:val="32"/>
          <w:szCs w:val="32"/>
          <w:lang w:val="zh-CN"/>
        </w:rPr>
        <w:t>.</w:t>
      </w:r>
      <w:r>
        <w:rPr>
          <w:rFonts w:ascii="仿宋_GB2312" w:eastAsia="仿宋_GB2312" w:hAnsi="宋体" w:cs="宋体" w:hint="eastAsia"/>
          <w:color w:val="000000" w:themeColor="text1"/>
          <w:sz w:val="32"/>
          <w:szCs w:val="32"/>
        </w:rPr>
        <w:t>51</w:t>
      </w:r>
      <w:r>
        <w:rPr>
          <w:rFonts w:ascii="仿宋_GB2312" w:eastAsia="仿宋_GB2312" w:hAnsi="宋体" w:cs="宋体" w:hint="eastAsia"/>
          <w:color w:val="000000" w:themeColor="text1"/>
          <w:sz w:val="32"/>
          <w:szCs w:val="32"/>
          <w:lang w:val="zh-CN"/>
        </w:rPr>
        <w:t>%，较年初下降</w:t>
      </w:r>
      <w:r>
        <w:rPr>
          <w:rFonts w:ascii="仿宋_GB2312" w:eastAsia="仿宋_GB2312" w:hAnsi="宋体" w:cs="宋体" w:hint="eastAsia"/>
          <w:color w:val="000000" w:themeColor="text1"/>
          <w:sz w:val="32"/>
          <w:szCs w:val="32"/>
        </w:rPr>
        <w:t>3</w:t>
      </w:r>
      <w:r>
        <w:rPr>
          <w:rFonts w:ascii="仿宋_GB2312" w:eastAsia="仿宋_GB2312" w:hAnsi="宋体" w:cs="宋体" w:hint="eastAsia"/>
          <w:color w:val="000000" w:themeColor="text1"/>
          <w:sz w:val="32"/>
          <w:szCs w:val="32"/>
          <w:lang w:val="zh-CN"/>
        </w:rPr>
        <w:t>.</w:t>
      </w:r>
      <w:r>
        <w:rPr>
          <w:rFonts w:ascii="仿宋_GB2312" w:eastAsia="仿宋_GB2312" w:hAnsi="宋体" w:cs="宋体" w:hint="eastAsia"/>
          <w:color w:val="000000" w:themeColor="text1"/>
          <w:sz w:val="32"/>
          <w:szCs w:val="32"/>
        </w:rPr>
        <w:t>5</w:t>
      </w:r>
      <w:r>
        <w:rPr>
          <w:rFonts w:ascii="仿宋_GB2312" w:eastAsia="仿宋_GB2312" w:hAnsi="宋体" w:cs="宋体" w:hint="eastAsia"/>
          <w:color w:val="000000" w:themeColor="text1"/>
          <w:sz w:val="32"/>
          <w:szCs w:val="32"/>
          <w:lang w:val="zh-CN"/>
        </w:rPr>
        <w:t>7个百分点，超过监管标准值</w:t>
      </w:r>
      <w:r>
        <w:rPr>
          <w:rFonts w:ascii="仿宋_GB2312" w:eastAsia="仿宋_GB2312" w:hAnsi="宋体" w:cs="宋体" w:hint="eastAsia"/>
          <w:color w:val="000000" w:themeColor="text1"/>
          <w:sz w:val="32"/>
          <w:szCs w:val="32"/>
        </w:rPr>
        <w:t>8.51</w:t>
      </w:r>
      <w:r>
        <w:rPr>
          <w:rFonts w:ascii="仿宋_GB2312" w:eastAsia="仿宋_GB2312" w:hAnsi="宋体" w:cs="宋体" w:hint="eastAsia"/>
          <w:color w:val="000000" w:themeColor="text1"/>
          <w:sz w:val="32"/>
          <w:szCs w:val="32"/>
          <w:lang w:val="zh-CN"/>
        </w:rPr>
        <w:t>个百分点。核心负债依存度为</w:t>
      </w:r>
      <w:r>
        <w:rPr>
          <w:rFonts w:ascii="仿宋_GB2312" w:eastAsia="仿宋_GB2312" w:hAnsi="宋体" w:cs="宋体" w:hint="eastAsia"/>
          <w:color w:val="000000" w:themeColor="text1"/>
          <w:sz w:val="32"/>
          <w:szCs w:val="32"/>
        </w:rPr>
        <w:t>68.99</w:t>
      </w:r>
      <w:r>
        <w:rPr>
          <w:rFonts w:ascii="仿宋_GB2312" w:eastAsia="仿宋_GB2312" w:hAnsi="宋体" w:cs="宋体" w:hint="eastAsia"/>
          <w:color w:val="000000" w:themeColor="text1"/>
          <w:sz w:val="32"/>
          <w:szCs w:val="32"/>
          <w:lang w:val="zh-CN"/>
        </w:rPr>
        <w:t>%，超过监管标准值</w:t>
      </w:r>
      <w:r>
        <w:rPr>
          <w:rFonts w:ascii="仿宋_GB2312" w:eastAsia="仿宋_GB2312" w:hAnsi="宋体" w:cs="宋体" w:hint="eastAsia"/>
          <w:color w:val="000000" w:themeColor="text1"/>
          <w:sz w:val="32"/>
          <w:szCs w:val="32"/>
        </w:rPr>
        <w:t>8.99</w:t>
      </w:r>
      <w:r>
        <w:rPr>
          <w:rFonts w:ascii="仿宋_GB2312" w:eastAsia="仿宋_GB2312" w:hAnsi="宋体" w:cs="宋体" w:hint="eastAsia"/>
          <w:color w:val="000000" w:themeColor="text1"/>
          <w:sz w:val="32"/>
          <w:szCs w:val="32"/>
          <w:lang w:val="zh-CN"/>
        </w:rPr>
        <w:t>个百分点；流动性缺口率为</w:t>
      </w:r>
      <w:r>
        <w:rPr>
          <w:rFonts w:ascii="仿宋_GB2312" w:eastAsia="仿宋_GB2312" w:hAnsi="宋体" w:cs="宋体" w:hint="eastAsia"/>
          <w:color w:val="000000" w:themeColor="text1"/>
          <w:sz w:val="32"/>
          <w:szCs w:val="32"/>
        </w:rPr>
        <w:t>-27.68</w:t>
      </w:r>
      <w:r>
        <w:rPr>
          <w:rFonts w:ascii="仿宋_GB2312" w:eastAsia="仿宋_GB2312" w:hAnsi="宋体" w:cs="宋体" w:hint="eastAsia"/>
          <w:color w:val="000000" w:themeColor="text1"/>
          <w:sz w:val="32"/>
          <w:szCs w:val="32"/>
          <w:lang w:val="zh-CN"/>
        </w:rPr>
        <w:t>%，较年初下降</w:t>
      </w:r>
      <w:r>
        <w:rPr>
          <w:rFonts w:ascii="仿宋_GB2312" w:eastAsia="仿宋_GB2312" w:hAnsi="宋体" w:cs="宋体" w:hint="eastAsia"/>
          <w:color w:val="000000" w:themeColor="text1"/>
          <w:sz w:val="32"/>
          <w:szCs w:val="32"/>
        </w:rPr>
        <w:t>37.86</w:t>
      </w:r>
      <w:r>
        <w:rPr>
          <w:rFonts w:ascii="仿宋_GB2312" w:eastAsia="仿宋_GB2312" w:hAnsi="宋体" w:cs="宋体" w:hint="eastAsia"/>
          <w:color w:val="000000" w:themeColor="text1"/>
          <w:sz w:val="32"/>
          <w:szCs w:val="32"/>
          <w:lang w:val="zh-CN"/>
        </w:rPr>
        <w:t>个百分点；人民币超额备付率</w:t>
      </w:r>
      <w:r>
        <w:rPr>
          <w:rFonts w:ascii="仿宋_GB2312" w:eastAsia="仿宋_GB2312" w:hAnsi="宋体" w:cs="宋体" w:hint="eastAsia"/>
          <w:color w:val="000000" w:themeColor="text1"/>
          <w:sz w:val="32"/>
          <w:szCs w:val="32"/>
        </w:rPr>
        <w:t>1.09</w:t>
      </w:r>
      <w:r>
        <w:rPr>
          <w:rFonts w:ascii="仿宋_GB2312" w:eastAsia="仿宋_GB2312" w:hAnsi="宋体" w:cs="宋体" w:hint="eastAsia"/>
          <w:color w:val="000000" w:themeColor="text1"/>
          <w:sz w:val="32"/>
          <w:szCs w:val="32"/>
          <w:lang w:val="zh-CN"/>
        </w:rPr>
        <w:t>%，较年初上升</w:t>
      </w:r>
      <w:r>
        <w:rPr>
          <w:rFonts w:ascii="仿宋_GB2312" w:eastAsia="仿宋_GB2312" w:hAnsi="宋体" w:cs="宋体" w:hint="eastAsia"/>
          <w:color w:val="000000" w:themeColor="text1"/>
          <w:sz w:val="32"/>
          <w:szCs w:val="32"/>
        </w:rPr>
        <w:t>0.54</w:t>
      </w:r>
      <w:r>
        <w:rPr>
          <w:rFonts w:ascii="仿宋_GB2312" w:eastAsia="仿宋_GB2312" w:hAnsi="宋体" w:cs="宋体" w:hint="eastAsia"/>
          <w:color w:val="000000" w:themeColor="text1"/>
          <w:sz w:val="32"/>
          <w:szCs w:val="32"/>
          <w:lang w:val="zh-CN"/>
        </w:rPr>
        <w:t>个百分点，均符合监管要求。</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9.7市场风险状况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利率风险敏感度符合监管要求，累计外汇敞口头寸比例为零。</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9.8操作风险状况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制定了不良贷款管理办法、贷款五级分类管理考核制度、审贷分离、贷款分级审批制度、计算机风险防控管理办法、结算、清算等业务操作规程、</w:t>
      </w:r>
      <w:proofErr w:type="gramStart"/>
      <w:r>
        <w:rPr>
          <w:rFonts w:ascii="仿宋_GB2312" w:eastAsia="仿宋_GB2312" w:hAnsi="宋体" w:cs="宋体" w:hint="eastAsia"/>
          <w:color w:val="000000" w:themeColor="text1"/>
          <w:sz w:val="32"/>
          <w:szCs w:val="32"/>
        </w:rPr>
        <w:t>案防保证金</w:t>
      </w:r>
      <w:proofErr w:type="gramEnd"/>
      <w:r>
        <w:rPr>
          <w:rFonts w:ascii="仿宋_GB2312" w:eastAsia="仿宋_GB2312" w:hAnsi="宋体" w:cs="宋体" w:hint="eastAsia"/>
          <w:color w:val="000000" w:themeColor="text1"/>
          <w:sz w:val="32"/>
          <w:szCs w:val="32"/>
        </w:rPr>
        <w:t>管理办法、员工违规积分制、关联交易审核报告等风险管理规章制度。针对贷款以外其他资产（主要是存放同业款项和重空、有价单证），明确了管理部门和人员，实行了较严格的管理。严格按银监部门的要求，实行了贷款以外其他资产的风险分类制度。实行了分级管理、层层负责、层层把关、单独考核的风险管理体制，把风险管理贯穿于员工管理、业务操作流程的各个环节。</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lastRenderedPageBreak/>
        <w:t>9.9声誉风险状况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建立健全声誉风险管理机制，严格执行负面舆情监测报告制度，完善了声誉风险管理考评，同时还加强声誉风险排查管理，高度关注声誉风险状况，明确了管理部门和人员，及时有效应对和处置声誉风险,通过有效的风险管理，2023年度未出现声誉风险。</w:t>
      </w:r>
    </w:p>
    <w:p w:rsidR="007B0A00" w:rsidRPr="007B0A00" w:rsidRDefault="007B0A00" w:rsidP="007B0A00">
      <w:pPr>
        <w:spacing w:line="600" w:lineRule="exact"/>
        <w:ind w:firstLineChars="200" w:firstLine="640"/>
        <w:rPr>
          <w:rFonts w:ascii="仿宋_GB2312" w:eastAsia="仿宋_GB2312" w:hAnsi="仿宋_GB2312" w:cs="仿宋_GB2312"/>
          <w:color w:val="000000" w:themeColor="text1"/>
          <w:sz w:val="32"/>
          <w:szCs w:val="32"/>
        </w:rPr>
      </w:pPr>
      <w:r w:rsidRPr="007B0A00">
        <w:rPr>
          <w:rFonts w:ascii="仿宋_GB2312" w:eastAsia="仿宋_GB2312" w:hAnsi="仿宋_GB2312" w:cs="仿宋_GB2312" w:hint="eastAsia"/>
          <w:color w:val="000000" w:themeColor="text1"/>
          <w:sz w:val="32"/>
          <w:szCs w:val="32"/>
        </w:rPr>
        <w:t>完善消费者体制机制建设，</w:t>
      </w:r>
      <w:proofErr w:type="gramStart"/>
      <w:r w:rsidRPr="007B0A00">
        <w:rPr>
          <w:rFonts w:ascii="仿宋_GB2312" w:eastAsia="仿宋_GB2312" w:hAnsi="仿宋_GB2312" w:cs="仿宋_GB2312" w:hint="eastAsia"/>
          <w:color w:val="000000" w:themeColor="text1"/>
          <w:sz w:val="32"/>
          <w:szCs w:val="32"/>
        </w:rPr>
        <w:t>落实消保审查</w:t>
      </w:r>
      <w:proofErr w:type="gramEnd"/>
      <w:r w:rsidRPr="007B0A00">
        <w:rPr>
          <w:rFonts w:ascii="仿宋_GB2312" w:eastAsia="仿宋_GB2312" w:hAnsi="仿宋_GB2312" w:cs="仿宋_GB2312" w:hint="eastAsia"/>
          <w:color w:val="000000" w:themeColor="text1"/>
          <w:sz w:val="32"/>
          <w:szCs w:val="32"/>
        </w:rPr>
        <w:t>机制，把整治侵权行为与培育合</w:t>
      </w:r>
      <w:proofErr w:type="gramStart"/>
      <w:r w:rsidRPr="007B0A00">
        <w:rPr>
          <w:rFonts w:ascii="仿宋_GB2312" w:eastAsia="仿宋_GB2312" w:hAnsi="仿宋_GB2312" w:cs="仿宋_GB2312" w:hint="eastAsia"/>
          <w:color w:val="000000" w:themeColor="text1"/>
          <w:sz w:val="32"/>
          <w:szCs w:val="32"/>
        </w:rPr>
        <w:t>规</w:t>
      </w:r>
      <w:proofErr w:type="gramEnd"/>
      <w:r w:rsidRPr="007B0A00">
        <w:rPr>
          <w:rFonts w:ascii="仿宋_GB2312" w:eastAsia="仿宋_GB2312" w:hAnsi="仿宋_GB2312" w:cs="仿宋_GB2312" w:hint="eastAsia"/>
          <w:color w:val="000000" w:themeColor="text1"/>
          <w:sz w:val="32"/>
          <w:szCs w:val="32"/>
        </w:rPr>
        <w:t>文化深度融合，扎实有序推进</w:t>
      </w:r>
      <w:r w:rsidR="00C16205">
        <w:rPr>
          <w:rFonts w:ascii="仿宋_GB2312" w:eastAsia="仿宋_GB2312" w:hAnsi="仿宋_GB2312" w:cs="仿宋_GB2312" w:hint="eastAsia"/>
          <w:color w:val="000000" w:themeColor="text1"/>
          <w:sz w:val="32"/>
          <w:szCs w:val="32"/>
        </w:rPr>
        <w:t>本行</w:t>
      </w:r>
      <w:r w:rsidRPr="007B0A00">
        <w:rPr>
          <w:rFonts w:ascii="仿宋_GB2312" w:eastAsia="仿宋_GB2312" w:hAnsi="仿宋_GB2312" w:cs="仿宋_GB2312" w:hint="eastAsia"/>
          <w:color w:val="000000" w:themeColor="text1"/>
          <w:sz w:val="32"/>
          <w:szCs w:val="32"/>
        </w:rPr>
        <w:t>消费者权益保护工作，2023年度未发生消费者投诉案件。</w:t>
      </w:r>
      <w:bookmarkStart w:id="0" w:name="_GoBack"/>
      <w:bookmarkEnd w:id="0"/>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10.0同业竞争风险</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目前，随着金融市场对外开放和金融体制改革的深入，银行同业竞争将更加激烈，银行金融机构都面临诸如客户流失、市场份额下降等挑战。</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针对同业竞争风险，本行通过建立高效、灵活的经营机制，调整营销策略，合理确定市场定位，寻找市场空缺，加强服务手段创新，以提升核心竞争能力，培养并逐渐扩大基本客户群，稳定优质客户群，争取更大的市场份额，继续加强业已形成的规模和机构网点优势，保持在同业竞争中的领先地位。</w:t>
      </w:r>
    </w:p>
    <w:p w:rsidR="006D2801" w:rsidRDefault="00C70A09">
      <w:pPr>
        <w:shd w:val="clear" w:color="auto" w:fill="FFFFFF"/>
        <w:spacing w:line="560" w:lineRule="exact"/>
        <w:ind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十、资本管理计划</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为满足不断提高的资本监管要求，本行制定了《铜鼓农商银行资本管理办法》，将通过提高盈利能力、增加利润积累作为提高资本的首要途径。2023年,本行将加强资本规划管理，制定2020-2024年五年资本规划，确保资本充足稳定,加大资产结构调整力度，提高资本配置效率,加强内部资本充足评估</w:t>
      </w:r>
      <w:r>
        <w:rPr>
          <w:rFonts w:ascii="仿宋_GB2312" w:eastAsia="仿宋_GB2312" w:hAnsi="宋体" w:cs="宋体" w:hint="eastAsia"/>
          <w:color w:val="000000" w:themeColor="text1"/>
          <w:sz w:val="32"/>
          <w:szCs w:val="32"/>
        </w:rPr>
        <w:lastRenderedPageBreak/>
        <w:t>流程，提高资本管理水平,加强压力测试，完善资本应急预案,加强资本预算和考核，增强资本约束意识,根据本行发展战略与总体风险偏好，优化经济资本在各业务条线的合理配置，并通过经济资本配置引导业务部门合理调整业务结构与客户结构，以经济资本约束风险资本增长，实现资本水平和风险水平的合理匹配，提高资本使用效率。引导</w:t>
      </w:r>
      <w:r w:rsidR="00C16205">
        <w:rPr>
          <w:rFonts w:ascii="仿宋_GB2312" w:eastAsia="仿宋_GB2312" w:hAnsi="宋体" w:cs="宋体" w:hint="eastAsia"/>
          <w:color w:val="000000" w:themeColor="text1"/>
          <w:sz w:val="32"/>
          <w:szCs w:val="32"/>
        </w:rPr>
        <w:t>本行</w:t>
      </w:r>
      <w:r>
        <w:rPr>
          <w:rFonts w:ascii="仿宋_GB2312" w:eastAsia="仿宋_GB2312" w:hAnsi="宋体" w:cs="宋体" w:hint="eastAsia"/>
          <w:color w:val="000000" w:themeColor="text1"/>
          <w:sz w:val="32"/>
          <w:szCs w:val="32"/>
        </w:rPr>
        <w:t>树立资本约束意识，使资本成本概念和资本管理理念融入到经营管理的各个环节。定期审查和管理资本结构，并通过资产负债管理优化资本结构和期限搭配，提高资本筹集效率，维持资本结构的总体平衡。</w:t>
      </w:r>
    </w:p>
    <w:p w:rsidR="006D2801" w:rsidRPr="00F90C7C" w:rsidRDefault="00C70A09">
      <w:pPr>
        <w:shd w:val="clear" w:color="auto" w:fill="FFFFFF"/>
        <w:spacing w:line="560" w:lineRule="exact"/>
        <w:ind w:firstLine="640"/>
        <w:rPr>
          <w:rFonts w:ascii="黑体" w:eastAsia="黑体" w:hAnsi="黑体" w:cs="黑体"/>
          <w:color w:val="000000" w:themeColor="text1"/>
          <w:sz w:val="32"/>
          <w:szCs w:val="32"/>
        </w:rPr>
      </w:pPr>
      <w:r w:rsidRPr="00F90C7C">
        <w:rPr>
          <w:rFonts w:ascii="黑体" w:eastAsia="黑体" w:hAnsi="黑体" w:cs="黑体" w:hint="eastAsia"/>
          <w:color w:val="000000" w:themeColor="text1"/>
          <w:sz w:val="32"/>
          <w:szCs w:val="32"/>
        </w:rPr>
        <w:t>十一、薪酬情况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2023年</w:t>
      </w:r>
      <w:r w:rsidR="00C16205">
        <w:rPr>
          <w:rFonts w:ascii="仿宋_GB2312" w:eastAsia="仿宋_GB2312" w:hAnsi="宋体" w:cs="宋体" w:hint="eastAsia"/>
          <w:color w:val="000000" w:themeColor="text1"/>
          <w:sz w:val="32"/>
          <w:szCs w:val="32"/>
        </w:rPr>
        <w:t>本行</w:t>
      </w:r>
      <w:r>
        <w:rPr>
          <w:rFonts w:ascii="仿宋_GB2312" w:eastAsia="仿宋_GB2312" w:hAnsi="宋体" w:cs="宋体" w:hint="eastAsia"/>
          <w:color w:val="000000" w:themeColor="text1"/>
          <w:sz w:val="32"/>
          <w:szCs w:val="32"/>
        </w:rPr>
        <w:t>薪酬总额2397万元，接近同业中等水平。在薪酬的分配方面，按照因地制宜、分类指导；按绩取酬、多劳多得；团队配合，网点综合考核结果影响个人收入；正向激励、促进发展的原则，构建科学合理的绩效考核分配制度。在考核方法上采取计价为主、评分为辅的方式，对业务人员根据个人业绩采取直接计价法计发绩效薪酬，根据岗位不同设定不同的考核指标；对支行负责人实行平衡</w:t>
      </w:r>
      <w:proofErr w:type="gramStart"/>
      <w:r>
        <w:rPr>
          <w:rFonts w:ascii="仿宋_GB2312" w:eastAsia="仿宋_GB2312" w:hAnsi="宋体" w:cs="宋体" w:hint="eastAsia"/>
          <w:color w:val="000000" w:themeColor="text1"/>
          <w:sz w:val="32"/>
          <w:szCs w:val="32"/>
        </w:rPr>
        <w:t>计分卡</w:t>
      </w:r>
      <w:proofErr w:type="gramEnd"/>
      <w:r>
        <w:rPr>
          <w:rFonts w:ascii="仿宋_GB2312" w:eastAsia="仿宋_GB2312" w:hAnsi="宋体" w:cs="宋体" w:hint="eastAsia"/>
          <w:color w:val="000000" w:themeColor="text1"/>
          <w:sz w:val="32"/>
          <w:szCs w:val="32"/>
        </w:rPr>
        <w:t>考核；机关部门人员坚持考核到岗、量化到人的考核原则，并实行定性与定量相结合的考核方法，将部门业绩考核与个人履职考核相结合，基本形成了以价值创造为导向和核心的绩效薪酬考核体系，完善了全面绩效管理制度，进一步激励了干部员工在有效防范风险的前提下加快业务发展。</w:t>
      </w:r>
      <w:r>
        <w:rPr>
          <w:rFonts w:ascii="仿宋_GB2312" w:eastAsia="仿宋_GB2312" w:hAnsi="宋体" w:cs="宋体" w:hint="eastAsia"/>
          <w:color w:val="000000" w:themeColor="text1"/>
          <w:sz w:val="32"/>
          <w:szCs w:val="32"/>
        </w:rPr>
        <w:t>  </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11.1  董、监事及高级管理人员薪酬情况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坚持质量第一，效益优先，薪酬总额与质量效益挂钩，始</w:t>
      </w:r>
      <w:r>
        <w:rPr>
          <w:rFonts w:ascii="仿宋_GB2312" w:eastAsia="仿宋_GB2312" w:hAnsi="宋体" w:cs="宋体" w:hint="eastAsia"/>
          <w:color w:val="000000" w:themeColor="text1"/>
          <w:sz w:val="32"/>
          <w:szCs w:val="32"/>
        </w:rPr>
        <w:lastRenderedPageBreak/>
        <w:t>终把风险防范放在首要位置，积极引导盘活存量、</w:t>
      </w:r>
      <w:proofErr w:type="gramStart"/>
      <w:r>
        <w:rPr>
          <w:rFonts w:ascii="仿宋_GB2312" w:eastAsia="仿宋_GB2312" w:hAnsi="宋体" w:cs="宋体" w:hint="eastAsia"/>
          <w:color w:val="000000" w:themeColor="text1"/>
          <w:sz w:val="32"/>
          <w:szCs w:val="32"/>
        </w:rPr>
        <w:t>做优增量</w:t>
      </w:r>
      <w:proofErr w:type="gramEnd"/>
      <w:r>
        <w:rPr>
          <w:rFonts w:ascii="仿宋_GB2312" w:eastAsia="仿宋_GB2312" w:hAnsi="宋体" w:cs="宋体" w:hint="eastAsia"/>
          <w:color w:val="000000" w:themeColor="text1"/>
          <w:sz w:val="32"/>
          <w:szCs w:val="32"/>
        </w:rPr>
        <w:t>，提高发展质量。本行执行董事、监事及高级管理人员绩效薪酬均按50%比例进行了延期支付；其他高级管理人员及对风险有重要影响岗位人员均按40%比例进行了延期支付；对其他员工也按风险影响程度进行了不同比例的延期支付。</w:t>
      </w:r>
    </w:p>
    <w:p w:rsidR="006D2801" w:rsidRDefault="00C70A09">
      <w:pPr>
        <w:shd w:val="clear" w:color="auto" w:fill="FFFFFF"/>
        <w:spacing w:line="560" w:lineRule="exact"/>
        <w:ind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十二、重要事项</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（一）报告期内，无重大诉讼、仲裁事项。</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（二）报告期内，未发生重大案件、重大差错等情况。</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（三）报告期内，抵贷资产的收购、管理均符合相关的法律、法规和本行的有关规定。</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（四）报告期内本行各项业务合同履行情况正常，无重大合同纠纷发生。</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（五）报告期内，本行董事、监事、高管人员未受到司法部门处罚。</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除上述事项外，截止2023年12月31日，本行无需要披露的其他重要事项。</w:t>
      </w:r>
    </w:p>
    <w:p w:rsidR="006D2801" w:rsidRDefault="00C70A09">
      <w:pPr>
        <w:shd w:val="clear" w:color="auto" w:fill="FFFFFF"/>
        <w:spacing w:line="560" w:lineRule="exact"/>
        <w:ind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十三、财务报告</w:t>
      </w:r>
    </w:p>
    <w:p w:rsidR="006D2801" w:rsidRDefault="00C70A09">
      <w:pPr>
        <w:shd w:val="clear" w:color="auto" w:fill="FFFFFF"/>
        <w:spacing w:line="560" w:lineRule="exact"/>
        <w:ind w:firstLine="640"/>
        <w:rPr>
          <w:rFonts w:ascii="仿宋_GB2312" w:eastAsia="仿宋_GB2312" w:hAnsi="宋体" w:cs="宋体"/>
          <w:color w:val="000000" w:themeColor="text1"/>
          <w:sz w:val="32"/>
          <w:szCs w:val="32"/>
        </w:rPr>
      </w:pPr>
      <w:r>
        <w:rPr>
          <w:rFonts w:ascii="仿宋_GB2312" w:eastAsia="仿宋_GB2312" w:hAnsi="宋体" w:cs="宋体" w:hint="eastAsia"/>
          <w:color w:val="000000" w:themeColor="text1"/>
          <w:sz w:val="32"/>
          <w:szCs w:val="32"/>
        </w:rPr>
        <w:t>本行2023年度审计报告经江西惠普会计师事务所有限责任公司按国内审计准则审计，注册会计师陈联英、付荣辉出具了标准无保留意见的审计报告（赣</w:t>
      </w:r>
      <w:r w:rsidR="00170746">
        <w:rPr>
          <w:rFonts w:ascii="仿宋_GB2312" w:eastAsia="仿宋_GB2312" w:hAnsi="宋体" w:cs="宋体" w:hint="eastAsia"/>
          <w:color w:val="000000" w:themeColor="text1"/>
          <w:sz w:val="32"/>
          <w:szCs w:val="32"/>
        </w:rPr>
        <w:t>惠普</w:t>
      </w:r>
      <w:r>
        <w:rPr>
          <w:rFonts w:ascii="仿宋_GB2312" w:eastAsia="仿宋_GB2312" w:hAnsi="宋体" w:cs="宋体" w:hint="eastAsia"/>
          <w:color w:val="000000" w:themeColor="text1"/>
          <w:sz w:val="32"/>
          <w:szCs w:val="32"/>
        </w:rPr>
        <w:t>内审字〔2024〕第051号）。</w:t>
      </w:r>
    </w:p>
    <w:p w:rsidR="006D2801" w:rsidRDefault="006D2801">
      <w:pPr>
        <w:rPr>
          <w:color w:val="000000" w:themeColor="text1"/>
        </w:rPr>
      </w:pPr>
    </w:p>
    <w:p w:rsidR="006D2801" w:rsidRDefault="006D2801">
      <w:pPr>
        <w:shd w:val="clear" w:color="auto" w:fill="FFFFFF"/>
        <w:spacing w:line="560" w:lineRule="exact"/>
        <w:ind w:firstLine="640"/>
        <w:rPr>
          <w:color w:val="000000" w:themeColor="text1"/>
        </w:rPr>
      </w:pPr>
    </w:p>
    <w:p w:rsidR="006D2801" w:rsidRDefault="006D2801">
      <w:pPr>
        <w:rPr>
          <w:color w:val="000000" w:themeColor="text1"/>
        </w:rPr>
      </w:pPr>
    </w:p>
    <w:sectPr w:rsidR="006D2801" w:rsidSect="009E5B2E">
      <w:pgSz w:w="11906" w:h="16838"/>
      <w:pgMar w:top="1474" w:right="1644" w:bottom="147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2FD" w:rsidRDefault="004B52FD" w:rsidP="004B2235">
      <w:r>
        <w:separator/>
      </w:r>
    </w:p>
  </w:endnote>
  <w:endnote w:type="continuationSeparator" w:id="1">
    <w:p w:rsidR="004B52FD" w:rsidRDefault="004B52FD" w:rsidP="004B2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Malgun Gothic Semilight">
    <w:charset w:val="86"/>
    <w:family w:val="swiss"/>
    <w:pitch w:val="variable"/>
    <w:sig w:usb0="B0000AAF" w:usb1="09DF7CFB" w:usb2="00000012" w:usb3="00000000" w:csb0="003E01B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2FD" w:rsidRDefault="004B52FD" w:rsidP="004B2235">
      <w:r>
        <w:separator/>
      </w:r>
    </w:p>
  </w:footnote>
  <w:footnote w:type="continuationSeparator" w:id="1">
    <w:p w:rsidR="004B52FD" w:rsidRDefault="004B52FD" w:rsidP="004B2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59C"/>
    <w:rsid w:val="000557EC"/>
    <w:rsid w:val="00060C66"/>
    <w:rsid w:val="000E5401"/>
    <w:rsid w:val="00170746"/>
    <w:rsid w:val="00173BCE"/>
    <w:rsid w:val="00187F06"/>
    <w:rsid w:val="001E1D24"/>
    <w:rsid w:val="0022438A"/>
    <w:rsid w:val="00277695"/>
    <w:rsid w:val="00285484"/>
    <w:rsid w:val="003212FC"/>
    <w:rsid w:val="00341567"/>
    <w:rsid w:val="0034677B"/>
    <w:rsid w:val="00361E32"/>
    <w:rsid w:val="00391AD1"/>
    <w:rsid w:val="003B30D3"/>
    <w:rsid w:val="00416E84"/>
    <w:rsid w:val="004B2235"/>
    <w:rsid w:val="004B52FD"/>
    <w:rsid w:val="00501173"/>
    <w:rsid w:val="00567BF5"/>
    <w:rsid w:val="00570BBF"/>
    <w:rsid w:val="005A1213"/>
    <w:rsid w:val="005B3232"/>
    <w:rsid w:val="006D2801"/>
    <w:rsid w:val="007055D7"/>
    <w:rsid w:val="007509B8"/>
    <w:rsid w:val="007B0A00"/>
    <w:rsid w:val="007C38A6"/>
    <w:rsid w:val="007C68D5"/>
    <w:rsid w:val="008F13B8"/>
    <w:rsid w:val="009131CC"/>
    <w:rsid w:val="009C4703"/>
    <w:rsid w:val="009E5B2E"/>
    <w:rsid w:val="00A834B7"/>
    <w:rsid w:val="00AF4C43"/>
    <w:rsid w:val="00B2218C"/>
    <w:rsid w:val="00B65AEA"/>
    <w:rsid w:val="00B92B84"/>
    <w:rsid w:val="00BE5FB2"/>
    <w:rsid w:val="00C11DEE"/>
    <w:rsid w:val="00C16205"/>
    <w:rsid w:val="00C356F3"/>
    <w:rsid w:val="00C51DDF"/>
    <w:rsid w:val="00C62DBA"/>
    <w:rsid w:val="00C70A09"/>
    <w:rsid w:val="00CA6BA8"/>
    <w:rsid w:val="00CB0A63"/>
    <w:rsid w:val="00CB6F87"/>
    <w:rsid w:val="00D74BD4"/>
    <w:rsid w:val="00DE51A1"/>
    <w:rsid w:val="00E5470F"/>
    <w:rsid w:val="00ED1AC3"/>
    <w:rsid w:val="00F21B64"/>
    <w:rsid w:val="00F36AC2"/>
    <w:rsid w:val="00F44E2F"/>
    <w:rsid w:val="00F624C3"/>
    <w:rsid w:val="00F90C7C"/>
    <w:rsid w:val="00F95671"/>
    <w:rsid w:val="00FB40B5"/>
    <w:rsid w:val="00FC259C"/>
    <w:rsid w:val="798602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80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D280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6D28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nhideWhenUsed/>
    <w:qFormat/>
    <w:rsid w:val="006D2801"/>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semiHidden/>
    <w:rsid w:val="006D2801"/>
    <w:rPr>
      <w:sz w:val="18"/>
      <w:szCs w:val="18"/>
    </w:rPr>
  </w:style>
  <w:style w:type="character" w:customStyle="1" w:styleId="Char">
    <w:name w:val="页脚 Char"/>
    <w:basedOn w:val="a0"/>
    <w:link w:val="a3"/>
    <w:uiPriority w:val="99"/>
    <w:semiHidden/>
    <w:rsid w:val="006D280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34</Pages>
  <Words>2729</Words>
  <Characters>15559</Characters>
  <Application>Microsoft Office Word</Application>
  <DocSecurity>0</DocSecurity>
  <Lines>129</Lines>
  <Paragraphs>36</Paragraphs>
  <ScaleCrop>false</ScaleCrop>
  <Company>微软中国</Company>
  <LinksUpToDate>false</LinksUpToDate>
  <CharactersWithSpaces>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铜鼓党建管理员</dc:creator>
  <cp:lastModifiedBy>admin</cp:lastModifiedBy>
  <cp:revision>32</cp:revision>
  <cp:lastPrinted>2024-04-29T08:40:00Z</cp:lastPrinted>
  <dcterms:created xsi:type="dcterms:W3CDTF">2024-03-26T00:56:00Z</dcterms:created>
  <dcterms:modified xsi:type="dcterms:W3CDTF">2024-05-06T01:29:00Z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F85A1ED40FEF4935BB75FC6A673D050E</vt:lpwstr>
  </property>
</Properties>
</file>