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铜鼓农商银行</w:t>
      </w:r>
      <w:r>
        <w:rPr>
          <w:rFonts w:hint="eastAsia" w:ascii="方正大标宋简体" w:hAnsi="Calibri" w:eastAsia="方正大标宋简体" w:cs="Times New Roman"/>
          <w:sz w:val="44"/>
          <w:szCs w:val="44"/>
          <w:lang w:val="en-US" w:eastAsia="zh-CN"/>
        </w:rPr>
        <w:t>2023年社会责任报告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铜鼓</w:t>
      </w:r>
      <w:r>
        <w:rPr>
          <w:rFonts w:ascii="仿宋_GB2312" w:hAnsi="仿宋" w:eastAsia="仿宋_GB2312" w:cs="仿宋_GB2312"/>
          <w:sz w:val="32"/>
          <w:szCs w:val="32"/>
        </w:rPr>
        <w:t>农商</w:t>
      </w:r>
      <w:r>
        <w:rPr>
          <w:rFonts w:ascii="仿宋_GB2312" w:eastAsia="仿宋_GB2312"/>
          <w:sz w:val="32"/>
          <w:szCs w:val="32"/>
        </w:rPr>
        <w:t>银行</w:t>
      </w:r>
      <w:r>
        <w:rPr>
          <w:rFonts w:hint="eastAsia" w:ascii="仿宋_GB2312" w:eastAsia="仿宋_GB2312"/>
          <w:sz w:val="32"/>
          <w:szCs w:val="32"/>
        </w:rPr>
        <w:t>在各级党委、政府的正确领导下，在社会各界和广大股东的大力支持下，</w:t>
      </w:r>
      <w:r>
        <w:rPr>
          <w:rFonts w:hint="eastAsia" w:ascii="仿宋_GB2312" w:eastAsia="仿宋_GB2312"/>
          <w:sz w:val="32"/>
          <w:szCs w:val="32"/>
          <w:lang w:eastAsia="zh-CN"/>
        </w:rPr>
        <w:t>紧扣高质量发展要求，一以贯之“八行战略”，不断提升“五大能力”</w:t>
      </w:r>
      <w:r>
        <w:rPr>
          <w:rFonts w:hint="eastAsia" w:ascii="仿宋_GB2312" w:eastAsia="仿宋_GB2312"/>
          <w:sz w:val="32"/>
          <w:szCs w:val="32"/>
        </w:rPr>
        <w:t>，推动各项业务发展稳步提升，有效服务县域社会经济发展。</w:t>
      </w:r>
      <w:r>
        <w:rPr>
          <w:rFonts w:hint="eastAsia" w:ascii="仿宋_GB2312" w:hAnsi="仿宋" w:eastAsia="仿宋_GB2312" w:cs="仿宋_GB2312"/>
          <w:sz w:val="32"/>
          <w:szCs w:val="32"/>
        </w:rPr>
        <w:t>截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_GB2312"/>
          <w:sz w:val="32"/>
          <w:szCs w:val="32"/>
        </w:rPr>
        <w:t>年末，</w:t>
      </w:r>
      <w:r>
        <w:rPr>
          <w:rFonts w:hint="eastAsia" w:ascii="仿宋_GB2312" w:eastAsia="仿宋_GB2312"/>
          <w:sz w:val="32"/>
          <w:szCs w:val="32"/>
        </w:rPr>
        <w:t>存贷款规模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58.26</w:t>
      </w:r>
      <w:r>
        <w:rPr>
          <w:rFonts w:hint="eastAsia" w:ascii="仿宋_GB2312" w:eastAsia="仿宋_GB2312"/>
          <w:sz w:val="32"/>
          <w:szCs w:val="32"/>
        </w:rPr>
        <w:t>亿元，其中：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各项存款余额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31.84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仿宋_GB2312" w:hAnsi="仿宋" w:eastAsia="仿宋_GB2312"/>
          <w:sz w:val="32"/>
          <w:szCs w:val="32"/>
        </w:rPr>
        <w:t>，较年初增加2.74亿元，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增幅</w:t>
      </w:r>
      <w:r>
        <w:rPr>
          <w:rFonts w:hint="eastAsia" w:ascii="仿宋_GB2312" w:hAnsi="仿宋" w:eastAsia="仿宋_GB2312"/>
          <w:sz w:val="32"/>
          <w:szCs w:val="32"/>
        </w:rPr>
        <w:t>9.43%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各项贷款余额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26.42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较年初增加2.37亿元，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增幅</w:t>
      </w:r>
      <w:r>
        <w:rPr>
          <w:rFonts w:hint="eastAsia" w:ascii="仿宋_GB2312" w:hAnsi="仿宋" w:eastAsia="仿宋_GB2312"/>
          <w:sz w:val="32"/>
          <w:szCs w:val="32"/>
        </w:rPr>
        <w:t>9.84%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业务规模持续领跑全县金融机构。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2023年，铜鼓农商银行被省联社授予“工作成效先进单位”、“2023年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开门红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互金业务经营先进单位”，被铜鼓县委县政府授予“2023年度纳税超500万企业”。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一、在支持本地经济中彰显“农商”担当。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始终坚持稳经济就是稳大局理念，积极融入地方发展大局。积极对接辖内小微企业、小微企业主和个体工商户，加大走访力度，满足企业发展融资需求。持续简化办贷手续，优化业务操作，实行客户单签，精简审批流程，做到办贷流程再优化；主动协调县创业中心，积极引导企业申办贴息贷款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2023年末，普惠小微贷款余额8.59亿元，较年初增长1.09亿元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。与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103个农村党组织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签订“党建联建共建合作协议”和“党建引领乡村振兴合作协议”，把强化与行政事业单位的战略合作作为资源整合共享，推进业务发展的有力抓手，与县乡村振兴局联合下发《铜鼓县“党建+金融”整村授信助力乡村振兴实施方案》，将整村授信工作纳入乡镇工作考核。网点负责人作为乡镇金融联络员，每月向乡镇分管领导、，每季向主要领导汇报乡村振兴工作。2023年末，涉农贷款余额12.9亿元，较年初增长0.24亿元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陆续推出“城商贷”“建易贷”、“安商贷”等信贷产品，满足多层次客户需求，通过创新产品累计发放贷款2500万元。通过移动IPDA、手机银行等数字化渠道，突破空间、时间束缚，随时随地为客户提供金融服务。2023年末手机银行客户4.1万户，较年初增加4849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二、在服务市场主体中贡献金融力量。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zh-CN"/>
        </w:rPr>
        <w:t>始终坚持以客户为中心理念，坚定走好普惠金融之路，以“一颗真心”聚力支农支小。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开展乡村振兴整村授信和城区支小支微普惠授信，制定了每日电话营销、每周夜扫、每月小型对接会、每季金融夜校、适时开展金融万里行外拓的营销机制，各网点以开展各类营销活动为抓手，扩大贷款营销覆盖面。2023年末，全行贷款客户数15190户，较年初净增1224户，客户授信覆盖面44.13%，较上年末增长3.55个百分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下沉服务重心，深入商会、校园、事业单位开展“金融知识宣讲”、“金融夜校”、“小型业务对接会”等各类普惠金融活动170余场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优化选点布局，新开办西湖小区普惠金融服务站，丰富服务站功能类型，拓宽服务覆盖面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积极开展“党建+普惠金融万里行”活动，先后赴昆明、佛山、东莞、深圳、台州等地开展外拓营销，服务对接112名铜鼓籍在外客户，授信金额5380万元，用信金额3560万元。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积极落实减费让利政策，对“专精特新”中小企业、高新科技技术企业给予优惠利率，全年共优惠贷款利息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200余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三、在履行社会责任中淬炼为民初心。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牢记金融为民初心使命，践行金融工作的政治性、人民性，积极履行社会职责、承担社会责任。认真做好脱贫人口小额信贷投放与管理，推进脱贫攻坚成果与乡村振兴有效衔接，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2023年脱贫人口小额信贷累计发放762户、金额2668万元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围绕助力乡村振兴，通过驻村帮扶、公益捐赠等举措，将金融活水引入田间地头。与铜鼓县税务局签订党建联建共建合作协议，为纳税人发展“贷”来活力，实现“纳税人有发展、银行有效率、纳税更诚信”的良性互动进行了深入合作。2023年开展了员工入职座谈、员工节日慰问、员工喜事庆贺、员工病丧抚慰、员工医疗保障、员工培育成长、山区员工关怀、员工困难帮扶、员工退休温暖等活动共计36次，充分体现人文关怀。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不断加强网点职场环境管理，配齐轮椅、老花镜等设备，全面做好适老化服务。</w:t>
      </w:r>
      <w:bookmarkStart w:id="0" w:name="_GoBack"/>
      <w:bookmarkEnd w:id="0"/>
      <w:r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  <w:t>组织开展了消费者权益保护、防电信诈骗、反洗钱反假币等宣传活动，助力高考、关爱新就业群体等志愿活动，树立了良好社会形象。</w:t>
      </w:r>
    </w:p>
    <w:p>
      <w:pPr>
        <w:pStyle w:val="2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黑体" w:eastAsia="仿宋_GB2312" w:cs="仿宋_GB2312"/>
          <w:color w:val="000000"/>
          <w:sz w:val="32"/>
          <w:szCs w:val="32"/>
          <w:lang w:eastAsia="zh-CN"/>
        </w:rPr>
      </w:pPr>
    </w:p>
    <w:p>
      <w:pPr>
        <w:pStyle w:val="2"/>
        <w:jc w:val="right"/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000000"/>
          <w:sz w:val="32"/>
          <w:szCs w:val="32"/>
          <w:lang w:val="en-US" w:eastAsia="zh-CN"/>
        </w:rPr>
        <w:t>2023年12月30日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6193A"/>
    <w:rsid w:val="5136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小四 行距: 1.5 倍行距 +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2024-10-09T01:03:00Z</dcterms:created>
  <dc:creator>Administrator</dc:creator>
  <cp:lastModifiedBy>Administrator</cp:lastModifiedBy>
  <dcterms:modified xsi:type="dcterms:W3CDTF">2024-10-09T02:07:50Z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