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Calibri" w:eastAsia="方正大标宋简体" w:cs="Times New Roman"/>
          <w:sz w:val="44"/>
          <w:szCs w:val="44"/>
          <w:lang w:val="en-US" w:eastAsia="zh-CN"/>
        </w:rPr>
      </w:pPr>
      <w:r>
        <w:rPr>
          <w:rFonts w:hint="eastAsia" w:ascii="方正大标宋简体" w:hAnsi="Calibri" w:eastAsia="方正大标宋简体" w:cs="Times New Roman"/>
          <w:sz w:val="44"/>
          <w:szCs w:val="44"/>
          <w:lang w:val="en-US" w:eastAsia="zh-CN"/>
        </w:rPr>
        <w:t>铜鼓农商银行</w:t>
      </w:r>
      <w:r>
        <w:rPr>
          <w:rFonts w:hint="eastAsia" w:ascii="方正大标宋简体" w:hAnsi="Calibri" w:eastAsia="方正大标宋简体" w:cs="Times New Roman"/>
          <w:sz w:val="44"/>
          <w:szCs w:val="44"/>
          <w:lang w:val="en-US" w:eastAsia="zh-CN"/>
        </w:rPr>
        <w:t>2025年社会责任报告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Calibri" w:eastAsia="方正大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，铜鼓农商银行在省行党委及宜春辖区党组的坚强领导下，始终坚持“立足本土、服务社区、支农支小”的市场定位，积极践行金融工作的政治性、人民性，以高质量发展为主线，统筹推进经营管理、风险防控、普惠金融、乡村振兴与党的建设等各项工作，切实履行社会责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任，为地方经济社会可持续发展贡献了坚实的金融力量。现将本行2025年度履行社会责任情况报告如下：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一、深耕本土，精准滴灌，全力服务地方经济高质量发展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作为扎根铜鼓的本土银行，我们始终将自身发展融入地方经济脉络，持续加大金融供给，优化信贷结构，为县域经济稳进提质注入源源不断的金融活水。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（一）信贷投放量增面扩，主渠道作用持续夯实。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对复杂的经济金融形势，我行坚定履行金融服务实体经济的核心使命。截至2025年12月31日，全行各项贷款余额达30.39亿元，较年初净增1.81亿元，增幅6.33%，完成全年计划的100.57%，信贷增长保持稳健态势。全年累计发放贷款25.35亿元，有效满足了县域内各类市场主体的融资需求。我们特别注重对薄弱环节和重点领域的支持，普惠型小微企业贷款余额10.65亿元，较年初净增1.02亿元，完成省行下达净增计划的175.79%；涉农贷款余额13.99亿元，较年初增加1.15亿元，有力巩固了农村金融主力军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（二）聚焦重点精准发力，产业结构优化升级。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我们紧跟国家和区域发展战略，引导信贷资源向关键领域集聚。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一是助力制造业与园区经济。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动对接辖内产业园区，运用“安商贷”等产品为新入驻企业提供“企业注册+开户+授信”一站式服务；规范运用“财园信贷通”，支持制造业企业扩大再生产。全年累计向企业投放贷款3.64亿元，净增用信0.48亿元，其中重点对接“专精特新”、高新技术企业，提供优惠利率支持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二是培育绿色金融新动能。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积极响应“双碳”目标，加大绿色信贷投放，绿色信贷余额达0.84亿元，较年初净增0.21亿元，完成序时任务的106.53%，支持领域涵盖节能环保、清洁能源及生态农业等。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三是推动特色产业振兴。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度融入地方农业产业发展规划，创新推出“笋竹贷”，全年发放2655万元，支持63户相关主体；升级“黄精贷2.0版”，发放1580万元，带动35户农户种植，两款产品凭借审批快、成本低的优势，成为地方政府推荐、农户欢迎的“明星产品”，有效促进了本地特色农业的规模化、品牌化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（三）稳企纾困靶向施策，市场活力有效激发。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面对县域信贷市场竞争加剧、利率下行等挑战，我们主动调整经营策略。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一方面，“守住存量”稳固基本盘。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对存量优质客户主动进行利率优惠，成功稳定了数亿元的优质信贷额度，增强了客户黏性。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另一方面，“做足增量”拓展新空间。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“春天行动”等专项活动中，对新客户实施优惠利率政策，引入新增用信近0.5亿元；紧盯外出创业群体，组建外拓团队赴广东、浙江、云南等地开展“普惠金融万里行”3次，走访客户73户，完成授信20户，金额655万元，将家乡银行的温暖服务送到外出乡贤身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二、普惠共享，润泽城乡，奋力书写金融为民暖心答卷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我们坚信，金融服务的广度与温度是衡量银行价值的重要尺度。全行上下以“让每一个有需求的个体和微企都能享受到便捷金融服务”为目标，纵深推进普惠金融工程。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（一）“整村授信”实现全域覆盖，乡村振兴注入金融活水。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“整村授信”作为服务乡村振兴的战略支点。截至2025年末，已完成全县91个行政村的100%覆盖，累计为28,913户农户建立信用档案，评议生成“白名单”16,616户，对其中13,749户给予授信，总授信金额达19.21亿元，授信覆盖面达49.98%；已有9,278户实际用信，用信金额14.47亿元。通过“客户经理+村委”协同服务模式，将金融服务窗口搬到村口，使广大农户无需抵押、便捷获贷，有效激活了农村内生发展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（二）“网格服务”深耕城区街巷，小微个体获得精准滋养。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城区划分12个金融服务网格，配备12名责任客户经理，实施“定格、定人、定责”的精准化管理。全年走访对接社区、机关、商圈、商会、园区客户1,810户，成功新增授信客户356户，授信金额4,940万元；新增用信246户，用信金额4,185万元。这种“扫街式”上门服务与“滴灌式”信贷支持，切实解决了城区小微客户和个体工商户“融资难、融资慢”的痛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（三）“基础服务”注重普惠均等，重点群体关爱落到实处。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我们关注金融服务的可得性与公平性。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一是优化账户服务。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坚决落实人行优化账户服务要求，在把控风险的同时，提升开户便利度。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二是保障现金支付。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积极开展整治拒收现金工作，与商户签订承诺书，张贴标识；大力推广“零钱包”发放与兑换服务，在网点设立专属窗口，并对接出租车等行业提供上门兑换，保障了老年人等习惯使用现金群体的支付权益。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三是延伸服务触角。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针对老年人、行动不便客户，依托移动终端提供上门办理社保卡激活、小额取现等服务，营业部坚持每月赴福利院为老人办理业务，用实际行动擦亮“有温度的银行”品牌。全年为特殊人群提供上门服务百余次。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（四）“科技赋能”提升服务效率，线上渠道建设持续加强。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积极推进金融与科技融合。大力拓展第三方支付绑卡业务，全年绑卡人数净增9,302户，交易人数净增2,784户，返佣收入72.71万元。通过开展“扫码支付优惠”、“百福生活圈”等活动，提升电子渠道活跃度。同时，加强社保卡生态建设，推行“社保存”产品，新增二、三年期选项，全年社保存余额增长5,135万元，卡均余额提升906元，增强了客户粘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三、稳健经营，筑牢防线，坚定守护金融安全与消费者权益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安全是金融的生命线。我们始终将风险防控和消费者权益保护置于经营管理的核心位置，努力构建安全、可靠、值得信赖的金融环境。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（一）资产质量稳中向好，风险抵御能力扎实。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过严密的风险监测与积极的清收处置，资产质量保持稳定。截至2025年末，全行不良贷款率2.95%，优于监管指标1.05个百分点；贷款损失准备覆盖率达266.02%，资本充足率17%，流动性比例40.94%，各项关键风险指标均显著优于监管要求，风险抵补能力雄厚。清收事业部通过“数据驱动+精准画像”、创新处置（如成功完成首笔政府收储林权）等方式，全年清收处置不良资产超计划完成121%，现金清收1,069万元，实现了不良贷款余额与比例的“双降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（二）合规案防体系严密，内控管理根基巩固。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制定并推进《内控合规建设三年行动方案》。法律合规部与风险管理部全年开展合规审查32次，出具各类意见书32份，下发风险提示43份。组织“合规铸魂”等文化主题活动及案件警示教育学习。深入开展员工异常行为网格化排查4次，覆盖全员，重点排查40类异常情形；对信贷“三查”、柜面业务等开展专项排查，发现问题42个并全部整改，问责11人次。全年修订或新建内控制度24项，筑牢制度篱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（三）消费者权益保护有力，金融安全网织密织牢。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将消保工作贯穿业务全流程。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一是筑牢资金安全防火墙。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落实账户主体责任，加强开户审核与存量账户排查，全年排查个人账户22.45万户、对公账户2109户，排查率分别达95.84%和100%，对479户风险账户采取管控措施。成功拦截电信诈骗案件，为客户止损3万元，全年涉案账户数同比下降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二是提升公众金融素养。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组织开展“3·15金融消费者权益保护教育宣传周”、“金融知识普及月”等大型活动31场，深入乡村、社区宣讲，发放资料超1100册，触达消费者4100余人次。在温泉支行设立“赣金防非服务站”，强化非法集资风险提示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三是优化客诉处理机制。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畅通投诉渠道，建立快速响应机制，积极妥善解决金融消费纠纷，提升客户满意度。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四、以人为本，凝心聚力，积极构建和谐幸福企业家园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我们致力于为员工创造实现价值的平台、营造温暖和谐的氛围，推动员工与银行共同成长。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（一）畅通职业发展通道，激发人才队伍活力。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坚持“一有三实”用人导向，2025年提拔4名年轻干部，其中资深主管2人、主管2人。动态更新后备人才库，3名优秀青年员工新晋入库。实施《“党建+后备人才梯队建设”考评办法》，月度考评结果与晋升、调整直接挂钩。推行“业绩赛马、亮剑比拼”竞赛，对网点负责人、客户经理按月排名亮榜，实行奖优罚劣、末位淘汰，畅通“能上能下”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（二）健全培训培养体系，提升队伍专业素养。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落实《“党建+员工素质提升”实施方案》，鼓励员工终身学习。全年共11人考取初、中级专业资质证书（初级7人，中级4人）。组织反洗钱、运营主管、合规案防、信贷业务等各类专业培训数十场，覆盖全行各岗位。建立机关部室重点工作督办与基层意见征求反馈机制，提升协同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（三）深化员工关爱工程，营造温馨家园文化。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充分发挥工会桥梁纽带作用，用心用情服务员工。常态化开展春节、重阳节等节日慰问，覆盖困难党员、老党员、困难职工及偏远网点员工；组织全员健康体检；举办“三八”妇女节采摘、“玩水聚力”亲子团建、“书香润心”阅读等活动。按季收集员工合理化建议，建立清单并推动落实，年内采纳实施3条。按月开展职场与生活设施巡检，发现问题立行立改，切实提升员工的归属感与幸福感。我行“笋竹贷•破竹行动”获全省农商银行职工“五小”创新优秀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五、奉献社会，传递温情，主动担当企业公民公益责任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在追求商业成功的同时，我们积极回馈社会，投身公益事业，致力于成为优秀的企业公民。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（一）党建品牌引领，志愿服务常态化。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“红农商·赣先锋”党建品牌统领下，党员志愿服务队活跃在城乡各处。全年开展“金融夜校”进村入户20余场，惠及村民2800余人；举办防范经济犯罪、反诈、反假币等知识宣讲；连续开展“爱心护航高考路”志愿服务；联合县城乡建设和交通运输局开展“夏送清凉”，慰问132名环卫工人。这些活动将专业的金融服务与暖心的社会关怀相结合，赢得了广泛赞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（二）积极投身公益，传递向善力量。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热心参与各类社会公益事业，组织员工参与“春蕾计划”募捐、“慈善一日捐”等活动。举办2025年职工子女奖学金颁发仪式暨考入大学学子座谈会，鼓励员工子女勤学向上，营造重视教育的良好风气。开展“情暖童心·爱在身边”关爱留守儿童活动，展现企业的社会温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（三）支持绿色发展，共建美丽家园。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绿色金融理念融入业务实践，不仅加大绿色信贷投放，更在不良资产处置中创新探索环境友好型方式。如针对涉及林权的不良贷款，积极沟通政府与林业公司，推动通过政府收储路径进行处置，在化解风险的同时促进了生态资源的有效管理与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六、党建引领，强根铸魂，始终把稳改革发展的正确航向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坚持党的领导、加强党的建设，是农商行发展的“根”和“魂”。我们以高质量党建引领保障高质量发展。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（一）强化政治建设，把准发展方向。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执行“第一议题”制度，党委理论学习中心组全年开展集中学习13次、专题研讨7次。深入学习贯彻党的二十大精神及中央经济金融工作部署，确保全行思想统一、步调一致。全面落实意识形态工作责任制，定期分析研判，管好各类阵地，牢牢把握正确政治方向和舆论导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（二）推动融合共进，破解“两张皮”难题。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制定《“红农商·赣先锋”党建品牌创建实施方案》，推动党建与业务深度融合。在“春天行动”、不良清收攻坚等中心工作中，设立党员责任区、先锋岗，下发《关于争创“四强”党支部推动“春天行动”工作的通知》，让党旗在一线飘扬。与县林业局等单位开展党建联建，举办“笋竹贷”集中授信仪式，实现党建引领业务拓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（三）深化纪律建设，涵养清廉生态。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扎实开展党纪学习教育，党委中心组专题学习党纪条规6次，开展警示教育4次。党委书记带头讲纪律党课。组织党员干部赴秋收起义沉浸式体验馆、廉政教育基地开展红色走读与警示教育。领导班子带头查摆问题，整改完成率达100%。在全行弘扬清廉金融文化，营造风清气正的政治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征程万里风正劲，重任千钧再出发。回望2025，铜鼓农商银行在履行社会责任的征途上步履坚实、成果丰硕。展望2026，我们将继续坚守初心使命，在省行和辖区党组的领导下，紧紧围绕服务实体经济、防控金融风险、深化金融改革三大任务，持续深耕本土，深化普惠金融，强化风险管控，关爱员工成长，热心社会公益，以更高的标准、更实的举措，奋力谱写高质量发展新篇章，为铜鼓经济社会发展做出新的更大贡献，努力成为让党放心、让人民满意、让员工自豪的现代金融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铜鼓农商银行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2025年12月31日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37C5"/>
    <w:rsid w:val="1B77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/>
    </w:pPr>
  </w:style>
  <w:style w:type="paragraph" w:styleId="3">
    <w:name w:val="Body Text First Indent 2"/>
    <w:basedOn w:val="1"/>
    <w:next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2026-01-16T03:39:00Z</dcterms:created>
  <dc:creator>Administrator</dc:creator>
  <cp:lastModifiedBy>Administrator</cp:lastModifiedBy>
  <dcterms:modified xsi:type="dcterms:W3CDTF">2026-01-16T04:04:19Z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