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方正大标宋简体" w:cs="仿宋_GB2312"/>
          <w:color w:val="auto"/>
          <w:sz w:val="32"/>
          <w:szCs w:val="32"/>
          <w:highlight w:val="none"/>
          <w:lang w:eastAsia="zh-CN"/>
        </w:rPr>
      </w:pPr>
      <w:r>
        <w:rPr>
          <w:rFonts w:hint="eastAsia" w:ascii="方正大标宋简体" w:hAnsi="宋体" w:eastAsia="方正大标宋简体" w:cs="宋体"/>
          <w:bCs/>
          <w:color w:val="auto"/>
          <w:kern w:val="0"/>
          <w:sz w:val="44"/>
          <w:szCs w:val="44"/>
          <w:highlight w:val="none"/>
          <w:lang w:eastAsia="zh-CN"/>
        </w:rPr>
        <w:t>寻乌</w:t>
      </w:r>
      <w:r>
        <w:rPr>
          <w:rFonts w:hint="eastAsia" w:ascii="方正大标宋简体" w:hAnsi="宋体" w:eastAsia="方正大标宋简体" w:cs="宋体"/>
          <w:bCs/>
          <w:color w:val="auto"/>
          <w:kern w:val="0"/>
          <w:sz w:val="44"/>
          <w:szCs w:val="44"/>
          <w:highlight w:val="none"/>
        </w:rPr>
        <w:t>农商银行202</w:t>
      </w:r>
      <w:r>
        <w:rPr>
          <w:rFonts w:hint="eastAsia" w:ascii="方正大标宋简体" w:hAnsi="宋体" w:eastAsia="方正大标宋简体" w:cs="宋体"/>
          <w:bCs/>
          <w:color w:val="auto"/>
          <w:kern w:val="0"/>
          <w:sz w:val="44"/>
          <w:szCs w:val="44"/>
          <w:highlight w:val="none"/>
          <w:lang w:val="en-US" w:eastAsia="zh-CN"/>
        </w:rPr>
        <w:t>4</w:t>
      </w:r>
      <w:r>
        <w:rPr>
          <w:rFonts w:hint="eastAsia" w:ascii="方正大标宋简体" w:hAnsi="宋体" w:eastAsia="方正大标宋简体" w:cs="宋体"/>
          <w:bCs/>
          <w:color w:val="auto"/>
          <w:kern w:val="0"/>
          <w:sz w:val="44"/>
          <w:szCs w:val="44"/>
          <w:highlight w:val="none"/>
        </w:rPr>
        <w:t>年度信息披露报告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江西寻乌农村商业银行股份有限公司（以下简称“本行”）董事会及董事保证本报告所载资料不存在任何虚假记载、误导性陈述或者重大遗漏，并对其内容的真实性、准确性和完整性承担个别及连带责任。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一、基本情况简介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lang w:eastAsia="zh-CN"/>
        </w:rPr>
        <w:t>法定中文名称：</w:t>
      </w:r>
      <w:r>
        <w:rPr>
          <w:rFonts w:hint="eastAsia" w:ascii="仿宋_GB2312" w:hAnsi="仿宋_GB2312" w:eastAsia="仿宋_GB2312" w:cs="仿宋_GB2312"/>
          <w:color w:val="auto"/>
          <w:sz w:val="32"/>
          <w:szCs w:val="32"/>
          <w:highlight w:val="none"/>
          <w:lang w:eastAsia="zh-CN"/>
        </w:rPr>
        <w:t>江西寻乌农村商业银行股份有限公司，简称：寻乌农商银行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法定英文名称：JIANGXI </w:t>
      </w:r>
      <w:r>
        <w:rPr>
          <w:rFonts w:hint="eastAsia" w:ascii="仿宋_GB2312" w:hAnsi="仿宋_GB2312" w:eastAsia="仿宋_GB2312" w:cs="仿宋_GB2312"/>
          <w:color w:val="auto"/>
          <w:sz w:val="32"/>
          <w:szCs w:val="32"/>
          <w:highlight w:val="none"/>
          <w:lang w:val="en-US" w:eastAsia="zh-CN"/>
        </w:rPr>
        <w:t>XUNWU</w:t>
      </w:r>
      <w:r>
        <w:rPr>
          <w:rFonts w:hint="eastAsia" w:ascii="仿宋_GB2312" w:hAnsi="仿宋_GB2312" w:eastAsia="仿宋_GB2312" w:cs="仿宋_GB2312"/>
          <w:color w:val="auto"/>
          <w:sz w:val="32"/>
          <w:szCs w:val="32"/>
          <w:highlight w:val="none"/>
          <w:lang w:eastAsia="zh-CN"/>
        </w:rPr>
        <w:t xml:space="preserve"> RURAL COMMERCIAL BANK CO.,LTD</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lang w:eastAsia="zh-CN"/>
        </w:rPr>
        <w:t>法定代表人：</w:t>
      </w:r>
      <w:r>
        <w:rPr>
          <w:rFonts w:hint="eastAsia" w:ascii="仿宋_GB2312" w:hAnsi="仿宋_GB2312" w:eastAsia="仿宋_GB2312" w:cs="仿宋_GB2312"/>
          <w:color w:val="auto"/>
          <w:sz w:val="32"/>
          <w:szCs w:val="32"/>
          <w:highlight w:val="none"/>
          <w:lang w:val="en-US" w:eastAsia="zh-CN"/>
        </w:rPr>
        <w:t>曾海金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lang w:eastAsia="zh-CN"/>
        </w:rPr>
        <w:t>注册及办公地址：</w:t>
      </w:r>
      <w:r>
        <w:rPr>
          <w:rFonts w:hint="eastAsia" w:ascii="仿宋_GB2312" w:hAnsi="仿宋_GB2312" w:eastAsia="仿宋_GB2312" w:cs="仿宋_GB2312"/>
          <w:color w:val="auto"/>
          <w:sz w:val="32"/>
          <w:szCs w:val="32"/>
          <w:highlight w:val="none"/>
          <w:lang w:eastAsia="zh-CN"/>
        </w:rPr>
        <w:t>江西省赣州市寻乌县长宁镇</w:t>
      </w:r>
      <w:r>
        <w:rPr>
          <w:rFonts w:hint="eastAsia" w:ascii="仿宋_GB2312" w:hAnsi="仿宋_GB2312" w:eastAsia="仿宋_GB2312" w:cs="仿宋_GB2312"/>
          <w:color w:val="auto"/>
          <w:sz w:val="32"/>
          <w:szCs w:val="32"/>
          <w:highlight w:val="none"/>
          <w:lang w:val="en-US" w:eastAsia="zh-CN"/>
        </w:rPr>
        <w:t>滨河东路6号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注册资本:壹亿伍仟</w:t>
      </w:r>
      <w:r>
        <w:rPr>
          <w:rFonts w:hint="eastAsia" w:ascii="仿宋_GB2312" w:hAnsi="仿宋_GB2312" w:eastAsia="仿宋_GB2312" w:cs="仿宋_GB2312"/>
          <w:color w:val="auto"/>
          <w:sz w:val="32"/>
          <w:szCs w:val="32"/>
          <w:highlight w:val="none"/>
          <w:lang w:val="en-US" w:eastAsia="zh-CN"/>
        </w:rPr>
        <w:t>叁</w:t>
      </w:r>
      <w:r>
        <w:rPr>
          <w:rFonts w:hint="eastAsia" w:ascii="仿宋_GB2312" w:hAnsi="仿宋_GB2312" w:eastAsia="仿宋_GB2312" w:cs="仿宋_GB2312"/>
          <w:color w:val="auto"/>
          <w:sz w:val="32"/>
          <w:szCs w:val="32"/>
          <w:highlight w:val="none"/>
          <w:lang w:eastAsia="zh-CN"/>
        </w:rPr>
        <w:t>佰</w:t>
      </w:r>
      <w:r>
        <w:rPr>
          <w:rFonts w:hint="eastAsia" w:ascii="仿宋_GB2312" w:hAnsi="仿宋_GB2312" w:eastAsia="仿宋_GB2312" w:cs="仿宋_GB2312"/>
          <w:color w:val="auto"/>
          <w:sz w:val="32"/>
          <w:szCs w:val="32"/>
          <w:highlight w:val="none"/>
          <w:lang w:val="en-US" w:eastAsia="zh-CN"/>
        </w:rPr>
        <w:t>贰</w:t>
      </w:r>
      <w:r>
        <w:rPr>
          <w:rFonts w:hint="eastAsia" w:ascii="仿宋_GB2312" w:hAnsi="仿宋_GB2312" w:eastAsia="仿宋_GB2312" w:cs="仿宋_GB2312"/>
          <w:color w:val="auto"/>
          <w:sz w:val="32"/>
          <w:szCs w:val="32"/>
          <w:highlight w:val="none"/>
          <w:lang w:eastAsia="zh-CN"/>
        </w:rPr>
        <w:t>拾</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lang w:val="en-US" w:eastAsia="zh-CN"/>
        </w:rPr>
        <w:t>零</w:t>
      </w:r>
      <w:r>
        <w:rPr>
          <w:rFonts w:hint="eastAsia" w:ascii="仿宋_GB2312" w:hAnsi="仿宋_GB2312" w:eastAsia="仿宋_GB2312" w:cs="仿宋_GB2312"/>
          <w:color w:val="auto"/>
          <w:sz w:val="32"/>
          <w:szCs w:val="32"/>
          <w:highlight w:val="none"/>
          <w:lang w:eastAsia="zh-CN"/>
        </w:rPr>
        <w:t>肆佰</w:t>
      </w:r>
      <w:r>
        <w:rPr>
          <w:rFonts w:hint="eastAsia" w:ascii="仿宋_GB2312" w:hAnsi="仿宋_GB2312" w:eastAsia="仿宋_GB2312" w:cs="仿宋_GB2312"/>
          <w:color w:val="auto"/>
          <w:sz w:val="32"/>
          <w:szCs w:val="32"/>
          <w:highlight w:val="none"/>
          <w:lang w:val="en-US" w:eastAsia="zh-CN"/>
        </w:rPr>
        <w:t>零伍</w:t>
      </w:r>
      <w:r>
        <w:rPr>
          <w:rFonts w:hint="eastAsia" w:ascii="仿宋_GB2312" w:hAnsi="仿宋_GB2312" w:eastAsia="仿宋_GB2312" w:cs="仿宋_GB2312"/>
          <w:color w:val="auto"/>
          <w:sz w:val="32"/>
          <w:szCs w:val="32"/>
          <w:highlight w:val="none"/>
          <w:lang w:eastAsia="zh-CN"/>
        </w:rPr>
        <w:t>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首次注册登记日期：2016年6月27日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邮政编码：34</w:t>
      </w:r>
      <w:r>
        <w:rPr>
          <w:rFonts w:hint="eastAsia" w:ascii="仿宋_GB2312" w:hAnsi="仿宋_GB2312" w:eastAsia="仿宋_GB2312" w:cs="仿宋_GB2312"/>
          <w:color w:val="auto"/>
          <w:sz w:val="32"/>
          <w:szCs w:val="32"/>
          <w:highlight w:val="none"/>
          <w:lang w:val="en-US" w:eastAsia="zh-CN"/>
        </w:rPr>
        <w:t>2200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lang w:eastAsia="zh-CN"/>
        </w:rPr>
        <w:t>其他有关资料：</w:t>
      </w:r>
      <w:r>
        <w:rPr>
          <w:rFonts w:hint="eastAsia" w:ascii="仿宋_GB2312" w:hAnsi="仿宋_GB2312" w:eastAsia="仿宋_GB2312" w:cs="仿宋_GB2312"/>
          <w:color w:val="auto"/>
          <w:sz w:val="32"/>
          <w:szCs w:val="32"/>
          <w:highlight w:val="none"/>
          <w:lang w:eastAsia="zh-CN"/>
        </w:rPr>
        <w:t>企业法人营业执照统一社会信用代码：91360700MA35JFX52Y；金融许可证号：B0968H336070001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lang w:eastAsia="zh-CN"/>
        </w:rPr>
        <w:t>经营范围：</w:t>
      </w:r>
      <w:r>
        <w:rPr>
          <w:rFonts w:hint="eastAsia" w:ascii="仿宋_GB2312" w:hAnsi="仿宋_GB2312" w:eastAsia="仿宋_GB2312" w:cs="仿宋_GB2312"/>
          <w:color w:val="auto"/>
          <w:sz w:val="32"/>
          <w:szCs w:val="32"/>
          <w:highlight w:val="none"/>
          <w:lang w:eastAsia="zh-CN"/>
        </w:rPr>
        <w:t>吸收公众存款；发放短期、中期和长期贷款；办理国内结算；办理票据承兑与贴现；代理收付款项及代理保险业务；买卖政府债券、金融债券；从事同业拆借；办理银行卡业务；代理发行、代理兑付、承销政府债券；提供保管箱服务；经银行业监督管理机构批准的其他业务。（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二、财务会计报表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eastAsia="zh-CN"/>
        </w:rPr>
        <w:t>会计报表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1.资产负债表</w:t>
      </w:r>
    </w:p>
    <w:tbl>
      <w:tblPr>
        <w:tblStyle w:val="14"/>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0"/>
        <w:gridCol w:w="299"/>
        <w:gridCol w:w="1248"/>
        <w:gridCol w:w="1072"/>
        <w:gridCol w:w="1829"/>
        <w:gridCol w:w="300"/>
        <w:gridCol w:w="1245"/>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810" w:type="dxa"/>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编制单位：江西寻乌农村商业银行股份有限公司</w:t>
            </w:r>
          </w:p>
        </w:tc>
        <w:tc>
          <w:tcPr>
            <w:tcW w:w="299" w:type="dxa"/>
            <w:shd w:val="clear" w:color="auto" w:fill="auto"/>
            <w:vAlign w:val="bottom"/>
          </w:tcPr>
          <w:p>
            <w:pPr>
              <w:rPr>
                <w:rFonts w:hint="eastAsia" w:asciiTheme="minorEastAsia" w:hAnsiTheme="minorEastAsia" w:eastAsiaTheme="minorEastAsia" w:cstheme="minorEastAsia"/>
                <w:i w:val="0"/>
                <w:color w:val="auto"/>
                <w:sz w:val="13"/>
                <w:szCs w:val="13"/>
                <w:highlight w:val="none"/>
                <w:u w:val="none"/>
              </w:rPr>
            </w:pPr>
          </w:p>
        </w:tc>
        <w:tc>
          <w:tcPr>
            <w:tcW w:w="1248" w:type="dxa"/>
            <w:shd w:val="clear" w:color="auto" w:fill="auto"/>
            <w:vAlign w:val="bottom"/>
          </w:tcPr>
          <w:p>
            <w:pPr>
              <w:rPr>
                <w:rFonts w:hint="eastAsia" w:asciiTheme="minorEastAsia" w:hAnsiTheme="minorEastAsia" w:eastAsiaTheme="minorEastAsia" w:cstheme="minorEastAsia"/>
                <w:i w:val="0"/>
                <w:color w:val="auto"/>
                <w:sz w:val="13"/>
                <w:szCs w:val="13"/>
                <w:highlight w:val="none"/>
                <w:u w:val="none"/>
              </w:rPr>
            </w:pPr>
          </w:p>
        </w:tc>
        <w:tc>
          <w:tcPr>
            <w:tcW w:w="1072" w:type="dxa"/>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2024年12月31日</w:t>
            </w:r>
          </w:p>
        </w:tc>
        <w:tc>
          <w:tcPr>
            <w:tcW w:w="1829" w:type="dxa"/>
            <w:shd w:val="clear" w:color="auto" w:fill="auto"/>
            <w:vAlign w:val="bottom"/>
          </w:tcPr>
          <w:p>
            <w:pPr>
              <w:rPr>
                <w:rFonts w:hint="eastAsia" w:asciiTheme="minorEastAsia" w:hAnsiTheme="minorEastAsia" w:eastAsiaTheme="minorEastAsia" w:cstheme="minorEastAsia"/>
                <w:i w:val="0"/>
                <w:color w:val="auto"/>
                <w:sz w:val="13"/>
                <w:szCs w:val="13"/>
                <w:highlight w:val="none"/>
                <w:u w:val="none"/>
              </w:rPr>
            </w:pPr>
          </w:p>
        </w:tc>
        <w:tc>
          <w:tcPr>
            <w:tcW w:w="300" w:type="dxa"/>
            <w:shd w:val="clear" w:color="auto" w:fill="auto"/>
            <w:vAlign w:val="bottom"/>
          </w:tcPr>
          <w:p>
            <w:pPr>
              <w:rPr>
                <w:rFonts w:hint="eastAsia" w:asciiTheme="minorEastAsia" w:hAnsiTheme="minorEastAsia" w:eastAsiaTheme="minorEastAsia" w:cstheme="minorEastAsia"/>
                <w:i w:val="0"/>
                <w:color w:val="auto"/>
                <w:sz w:val="13"/>
                <w:szCs w:val="13"/>
                <w:highlight w:val="none"/>
                <w:u w:val="none"/>
              </w:rPr>
            </w:pPr>
          </w:p>
        </w:tc>
        <w:tc>
          <w:tcPr>
            <w:tcW w:w="1245" w:type="dxa"/>
            <w:shd w:val="clear" w:color="auto" w:fill="auto"/>
            <w:vAlign w:val="bottom"/>
          </w:tcPr>
          <w:p>
            <w:pPr>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auto" w:sz="4" w:space="0"/>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单位：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810"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项目</w:t>
            </w:r>
          </w:p>
        </w:tc>
        <w:tc>
          <w:tcPr>
            <w:tcW w:w="2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行次</w:t>
            </w:r>
          </w:p>
        </w:tc>
        <w:tc>
          <w:tcPr>
            <w:tcW w:w="1248"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年初数</w:t>
            </w:r>
          </w:p>
        </w:tc>
        <w:tc>
          <w:tcPr>
            <w:tcW w:w="1072"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年末数</w:t>
            </w:r>
          </w:p>
        </w:tc>
        <w:tc>
          <w:tcPr>
            <w:tcW w:w="182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项目</w:t>
            </w:r>
          </w:p>
        </w:tc>
        <w:tc>
          <w:tcPr>
            <w:tcW w:w="30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行次</w:t>
            </w:r>
          </w:p>
        </w:tc>
        <w:tc>
          <w:tcPr>
            <w:tcW w:w="1245" w:type="dxa"/>
            <w:tcBorders>
              <w:top w:val="single" w:color="000000" w:sz="4" w:space="0"/>
              <w:bottom w:val="single" w:color="000000" w:sz="4" w:space="0"/>
              <w:right w:val="single" w:color="auto"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年初数</w:t>
            </w:r>
          </w:p>
        </w:tc>
        <w:tc>
          <w:tcPr>
            <w:tcW w:w="1072" w:type="dxa"/>
            <w:tcBorders>
              <w:top w:val="single" w:color="auto" w:sz="4" w:space="0"/>
              <w:left w:val="single" w:color="auto" w:sz="4" w:space="0"/>
              <w:bottom w:val="single" w:color="000000" w:sz="4" w:space="0"/>
              <w:right w:val="single" w:color="auto"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年末数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资产：</w:t>
            </w: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负债：</w:t>
            </w:r>
          </w:p>
        </w:tc>
        <w:tc>
          <w:tcPr>
            <w:tcW w:w="300"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5" w:type="dxa"/>
            <w:tcBorders>
              <w:bottom w:val="single" w:color="000000" w:sz="4" w:space="0"/>
              <w:right w:val="single" w:color="auto"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left w:val="single" w:color="auto" w:sz="4" w:space="0"/>
              <w:bottom w:val="single" w:color="000000" w:sz="4" w:space="0"/>
              <w:right w:val="single" w:color="auto"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现金及银行存款</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27,111,595.70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53,804,126.06</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向中央银行借款</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33</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1,060,000,000.00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1,120,019,444.43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存放中央银行款项</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355,236,630.06</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391,002,951.18</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联行存放款项</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34</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贵金属</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同业及其他金融机构存放款项</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35</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101,971,666.67</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存放联行款项</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拆入资金</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36</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存放同业款项</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283,169,286.23</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210,130,106.78</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衍生金融负债</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37</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拆出资金</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交易性金融负债</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38</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衍生金融资产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卖出回购金融资产款</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39</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200,008,219.18</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130,034,931.49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买入返售金融资产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8</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396,593,061.32</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吸收存款</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40</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6,929,350,162.66</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7,501,734,387.57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持有待售资产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9</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应付职工薪酬</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41</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13,499,042.38</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22,742,287.05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其他应收款</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10</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-1,841,514.66</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-2,107,899.70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其中：工资、奖金、津贴和补贴</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42</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3,342,974.24</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6,252,877.25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发放贷款和垫款</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11</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6,583,777,548.65</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7,029,555,740.84</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应交税费</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43</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27,942,378.12</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10,896,257.25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金融投资</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12</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1,332,749,364.87</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1,841,499,416.95</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持有待售负债</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44</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交易性金融资产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其他应付款</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45</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22,597,812.06</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14,238,431.87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债权投资</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14</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1,312,156,444.87</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1,841,499,416.95</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租赁负债</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46</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1,052,235.48</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1,631,028.86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其他债权投资</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15</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20,592,920.00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预计负债</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47</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314,195.22</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777,742.30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其他权益工具投资</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16</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应付债券</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48</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长期股权投资</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17</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139,794,666.09</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139,794,666.09</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递延所得税负债</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49</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投资性房地产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18</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其他负债</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50</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3,442,848.98</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7,585,684.10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固定资产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19</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41,611,326.21</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104,811,946.70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其中：应付股利</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51</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其中：固定资产原价</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20</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100,632,319.56</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170,726,565.19</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13"/>
                <w:szCs w:val="13"/>
                <w:highlight w:val="none"/>
                <w:u w:val="none"/>
              </w:rPr>
            </w:pPr>
            <w:r>
              <w:rPr>
                <w:rFonts w:hint="eastAsia" w:asciiTheme="minorEastAsia" w:hAnsiTheme="minorEastAsia" w:eastAsiaTheme="minorEastAsia" w:cstheme="minorEastAsia"/>
                <w:b/>
                <w:i w:val="0"/>
                <w:color w:val="auto"/>
                <w:kern w:val="0"/>
                <w:sz w:val="13"/>
                <w:szCs w:val="13"/>
                <w:highlight w:val="none"/>
                <w:u w:val="none"/>
                <w:lang w:val="en-US" w:eastAsia="zh-CN" w:bidi="ar"/>
              </w:rPr>
              <w:t>负债合计</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52</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8,360,178,560.75</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8,809,660,194.92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累计折旧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21</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59,020,993.35</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65,914,618.49</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所有者权益（或股东权益）：</w:t>
            </w:r>
          </w:p>
        </w:tc>
        <w:tc>
          <w:tcPr>
            <w:tcW w:w="300"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5" w:type="dxa"/>
            <w:tcBorders>
              <w:bottom w:val="single" w:color="000000" w:sz="4" w:space="0"/>
              <w:right w:val="single" w:color="auto"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left w:val="single" w:color="auto" w:sz="4" w:space="0"/>
              <w:bottom w:val="single" w:color="000000" w:sz="4" w:space="0"/>
              <w:right w:val="single" w:color="auto"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固定资产减值准备</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22</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实收资本（或股本）</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53</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151,693,470.00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153,210,405.00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固定资产清理</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23</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国家资本</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54</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在建工程</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24</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67,988,163.23</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集体资本</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55</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使用权资产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25</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885,964.78</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1,337,623.46</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法人资本</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56</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21,404,473.00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21,618,518.00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无形资产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26</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22,003,504.42</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21,784,345.54</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其中：国有法人资本</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57</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商誉</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27</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个人资本</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58</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130,288,997.00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131,591,887.00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长期待摊费用</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28</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1,118,615.51</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1,746,836.39</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外商资本</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59</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抵债资产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29</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其他权益工具</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60</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递延所得税资产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30</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优先股</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61</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其他资产</w:t>
            </w:r>
          </w:p>
        </w:tc>
        <w:tc>
          <w:tcPr>
            <w:tcW w:w="29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31</w:t>
            </w:r>
          </w:p>
        </w:tc>
        <w:tc>
          <w:tcPr>
            <w:tcW w:w="124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2,068,841.98</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3,019,258.12</w:t>
            </w: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永续债</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62</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63</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资本公积</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64</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7,939,758.61</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7,939,758.61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减：库存股</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65</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其他综合收益</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66</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7,400,799.71</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2,549,350.05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盈余公积</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67</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145,696,092.53</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158,477,765.69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一般风险准备</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68</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212,663,511.86</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213,265,081.31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未分配利润</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69</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366,694,860.93</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451,276,562.83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auto"/>
                <w:sz w:val="13"/>
                <w:szCs w:val="13"/>
                <w:highlight w:val="none"/>
                <w:u w:val="none"/>
              </w:rPr>
            </w:pPr>
            <w:r>
              <w:rPr>
                <w:rFonts w:hint="eastAsia" w:asciiTheme="minorEastAsia" w:hAnsiTheme="minorEastAsia" w:eastAsiaTheme="minorEastAsia" w:cstheme="minorEastAsia"/>
                <w:b/>
                <w:i w:val="0"/>
                <w:color w:val="auto"/>
                <w:kern w:val="0"/>
                <w:sz w:val="13"/>
                <w:szCs w:val="13"/>
                <w:highlight w:val="none"/>
                <w:u w:val="none"/>
                <w:lang w:val="en-US" w:eastAsia="zh-CN" w:bidi="ar"/>
              </w:rPr>
              <w:t xml:space="preserve">    归属于母公司所有者权益合计</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70</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892,088,493.64</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986,718,923.49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 xml:space="preserve">    少数股东权益</w:t>
            </w:r>
          </w:p>
        </w:tc>
        <w:tc>
          <w:tcPr>
            <w:tcW w:w="3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71</w:t>
            </w:r>
          </w:p>
        </w:tc>
        <w:tc>
          <w:tcPr>
            <w:tcW w:w="1245" w:type="dxa"/>
            <w:tcBorders>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c>
          <w:tcPr>
            <w:tcW w:w="1072" w:type="dxa"/>
            <w:tcBorders>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left w:val="single" w:color="000000" w:sz="4" w:space="0"/>
              <w:bottom w:val="single" w:color="auto" w:sz="4" w:space="0"/>
              <w:right w:val="single" w:color="000000" w:sz="4" w:space="0"/>
            </w:tcBorders>
            <w:shd w:val="clear" w:color="FFFFFF" w:fill="C0C0C0"/>
            <w:vAlign w:val="center"/>
          </w:tcPr>
          <w:p>
            <w:pPr>
              <w:jc w:val="left"/>
              <w:rPr>
                <w:rFonts w:hint="eastAsia" w:asciiTheme="minorEastAsia" w:hAnsiTheme="minorEastAsia" w:eastAsiaTheme="minorEastAsia" w:cstheme="minorEastAsia"/>
                <w:i w:val="0"/>
                <w:color w:val="auto"/>
                <w:sz w:val="13"/>
                <w:szCs w:val="13"/>
                <w:highlight w:val="none"/>
                <w:u w:val="none"/>
              </w:rPr>
            </w:pPr>
          </w:p>
        </w:tc>
        <w:tc>
          <w:tcPr>
            <w:tcW w:w="299" w:type="dxa"/>
            <w:tcBorders>
              <w:bottom w:val="single" w:color="auto"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color w:val="auto"/>
                <w:sz w:val="13"/>
                <w:szCs w:val="13"/>
                <w:highlight w:val="none"/>
                <w:u w:val="none"/>
              </w:rPr>
            </w:pPr>
          </w:p>
        </w:tc>
        <w:tc>
          <w:tcPr>
            <w:tcW w:w="1248" w:type="dxa"/>
            <w:tcBorders>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072" w:type="dxa"/>
            <w:tcBorders>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auto"/>
                <w:sz w:val="13"/>
                <w:szCs w:val="13"/>
                <w:highlight w:val="none"/>
                <w:u w:val="none"/>
              </w:rPr>
            </w:pPr>
          </w:p>
        </w:tc>
        <w:tc>
          <w:tcPr>
            <w:tcW w:w="1829" w:type="dxa"/>
            <w:tcBorders>
              <w:bottom w:val="single" w:color="auto"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13"/>
                <w:szCs w:val="13"/>
                <w:highlight w:val="none"/>
                <w:u w:val="none"/>
              </w:rPr>
            </w:pPr>
            <w:r>
              <w:rPr>
                <w:rFonts w:hint="eastAsia" w:asciiTheme="minorEastAsia" w:hAnsiTheme="minorEastAsia" w:eastAsiaTheme="minorEastAsia" w:cstheme="minorEastAsia"/>
                <w:b/>
                <w:i w:val="0"/>
                <w:color w:val="auto"/>
                <w:kern w:val="0"/>
                <w:sz w:val="13"/>
                <w:szCs w:val="13"/>
                <w:highlight w:val="none"/>
                <w:u w:val="none"/>
                <w:lang w:val="en-US" w:eastAsia="zh-CN" w:bidi="ar"/>
              </w:rPr>
              <w:t>所有者权益（或股东权益）合计</w:t>
            </w:r>
          </w:p>
        </w:tc>
        <w:tc>
          <w:tcPr>
            <w:tcW w:w="300" w:type="dxa"/>
            <w:tcBorders>
              <w:bottom w:val="single" w:color="auto"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72</w:t>
            </w:r>
          </w:p>
        </w:tc>
        <w:tc>
          <w:tcPr>
            <w:tcW w:w="1245" w:type="dxa"/>
            <w:tcBorders>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892,088,493.64</w:t>
            </w:r>
          </w:p>
        </w:tc>
        <w:tc>
          <w:tcPr>
            <w:tcW w:w="1072"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986,718,923.49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810" w:type="dxa"/>
            <w:tcBorders>
              <w:top w:val="single" w:color="auto" w:sz="4" w:space="0"/>
              <w:left w:val="single" w:color="auto" w:sz="4" w:space="0"/>
              <w:bottom w:val="single" w:color="auto"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13"/>
                <w:szCs w:val="13"/>
                <w:highlight w:val="none"/>
                <w:u w:val="none"/>
              </w:rPr>
            </w:pPr>
            <w:r>
              <w:rPr>
                <w:rFonts w:hint="eastAsia" w:asciiTheme="minorEastAsia" w:hAnsiTheme="minorEastAsia" w:eastAsiaTheme="minorEastAsia" w:cstheme="minorEastAsia"/>
                <w:b/>
                <w:i w:val="0"/>
                <w:color w:val="auto"/>
                <w:kern w:val="0"/>
                <w:sz w:val="13"/>
                <w:szCs w:val="13"/>
                <w:highlight w:val="none"/>
                <w:u w:val="none"/>
                <w:lang w:val="en-US" w:eastAsia="zh-CN" w:bidi="ar"/>
              </w:rPr>
              <w:t>资产总计</w:t>
            </w:r>
          </w:p>
        </w:tc>
        <w:tc>
          <w:tcPr>
            <w:tcW w:w="299" w:type="dxa"/>
            <w:tcBorders>
              <w:top w:val="single" w:color="auto" w:sz="4" w:space="0"/>
              <w:bottom w:val="single" w:color="auto"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32</w:t>
            </w:r>
          </w:p>
        </w:tc>
        <w:tc>
          <w:tcPr>
            <w:tcW w:w="1248" w:type="dxa"/>
            <w:tcBorders>
              <w:top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9,252,267,054.39</w:t>
            </w:r>
          </w:p>
        </w:tc>
        <w:tc>
          <w:tcPr>
            <w:tcW w:w="1072" w:type="dxa"/>
            <w:tcBorders>
              <w:top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9,796,379,118.41</w:t>
            </w:r>
          </w:p>
        </w:tc>
        <w:tc>
          <w:tcPr>
            <w:tcW w:w="1829" w:type="dxa"/>
            <w:tcBorders>
              <w:top w:val="single" w:color="auto" w:sz="4" w:space="0"/>
              <w:bottom w:val="single" w:color="auto"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auto"/>
                <w:sz w:val="13"/>
                <w:szCs w:val="13"/>
                <w:highlight w:val="none"/>
                <w:u w:val="none"/>
              </w:rPr>
            </w:pPr>
            <w:r>
              <w:rPr>
                <w:rFonts w:hint="eastAsia" w:asciiTheme="minorEastAsia" w:hAnsiTheme="minorEastAsia" w:eastAsiaTheme="minorEastAsia" w:cstheme="minorEastAsia"/>
                <w:b/>
                <w:i w:val="0"/>
                <w:color w:val="auto"/>
                <w:kern w:val="0"/>
                <w:sz w:val="13"/>
                <w:szCs w:val="13"/>
                <w:highlight w:val="none"/>
                <w:u w:val="none"/>
                <w:lang w:val="en-US" w:eastAsia="zh-CN" w:bidi="ar"/>
              </w:rPr>
              <w:t>负债和所有者权益（或股东权益）总计</w:t>
            </w:r>
          </w:p>
        </w:tc>
        <w:tc>
          <w:tcPr>
            <w:tcW w:w="300" w:type="dxa"/>
            <w:tcBorders>
              <w:top w:val="single" w:color="auto" w:sz="4" w:space="0"/>
              <w:bottom w:val="single" w:color="auto"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73</w:t>
            </w:r>
          </w:p>
        </w:tc>
        <w:tc>
          <w:tcPr>
            <w:tcW w:w="1245"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9,252,267,054.39</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9,796,379,118.41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2.利润表（损益表）</w:t>
      </w:r>
    </w:p>
    <w:tbl>
      <w:tblPr>
        <w:tblStyle w:val="14"/>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90"/>
        <w:gridCol w:w="277"/>
        <w:gridCol w:w="1129"/>
        <w:gridCol w:w="942"/>
        <w:gridCol w:w="2092"/>
        <w:gridCol w:w="278"/>
        <w:gridCol w:w="1125"/>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090"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编制单位：江西寻乌农村商业银行股份有限公司</w:t>
            </w:r>
          </w:p>
        </w:tc>
        <w:tc>
          <w:tcPr>
            <w:tcW w:w="277" w:type="dxa"/>
            <w:shd w:val="clear" w:color="auto" w:fill="auto"/>
            <w:vAlign w:val="bottom"/>
          </w:tcPr>
          <w:p>
            <w:pPr>
              <w:rPr>
                <w:rFonts w:hint="eastAsia" w:ascii="Arial" w:hAnsi="Arial" w:cs="Arial"/>
                <w:i w:val="0"/>
                <w:color w:val="auto"/>
                <w:sz w:val="13"/>
                <w:szCs w:val="13"/>
                <w:highlight w:val="none"/>
                <w:u w:val="none"/>
              </w:rPr>
            </w:pPr>
          </w:p>
        </w:tc>
        <w:tc>
          <w:tcPr>
            <w:tcW w:w="1129" w:type="dxa"/>
            <w:shd w:val="clear" w:color="auto" w:fill="auto"/>
            <w:vAlign w:val="bottom"/>
          </w:tcPr>
          <w:p>
            <w:pPr>
              <w:rPr>
                <w:rFonts w:hint="default" w:ascii="Arial" w:hAnsi="Arial" w:cs="Arial"/>
                <w:i w:val="0"/>
                <w:color w:val="auto"/>
                <w:sz w:val="13"/>
                <w:szCs w:val="13"/>
                <w:highlight w:val="none"/>
                <w:u w:val="none"/>
              </w:rPr>
            </w:pPr>
          </w:p>
        </w:tc>
        <w:tc>
          <w:tcPr>
            <w:tcW w:w="94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2024年度</w:t>
            </w:r>
          </w:p>
        </w:tc>
        <w:tc>
          <w:tcPr>
            <w:tcW w:w="2092" w:type="dxa"/>
            <w:shd w:val="clear" w:color="auto" w:fill="auto"/>
            <w:vAlign w:val="bottom"/>
          </w:tcPr>
          <w:p>
            <w:pPr>
              <w:rPr>
                <w:rFonts w:hint="default" w:ascii="Arial" w:hAnsi="Arial" w:cs="Arial"/>
                <w:i w:val="0"/>
                <w:color w:val="auto"/>
                <w:sz w:val="13"/>
                <w:szCs w:val="13"/>
                <w:highlight w:val="none"/>
                <w:u w:val="none"/>
              </w:rPr>
            </w:pPr>
          </w:p>
        </w:tc>
        <w:tc>
          <w:tcPr>
            <w:tcW w:w="278" w:type="dxa"/>
            <w:shd w:val="clear" w:color="auto" w:fill="auto"/>
            <w:vAlign w:val="bottom"/>
          </w:tcPr>
          <w:p>
            <w:pPr>
              <w:rPr>
                <w:rFonts w:hint="default" w:ascii="Arial" w:hAnsi="Arial" w:cs="Arial"/>
                <w:i w:val="0"/>
                <w:color w:val="auto"/>
                <w:sz w:val="13"/>
                <w:szCs w:val="13"/>
                <w:highlight w:val="none"/>
                <w:u w:val="none"/>
              </w:rPr>
            </w:pPr>
          </w:p>
        </w:tc>
        <w:tc>
          <w:tcPr>
            <w:tcW w:w="1125" w:type="dxa"/>
            <w:shd w:val="clear" w:color="auto" w:fill="auto"/>
            <w:vAlign w:val="bottom"/>
          </w:tcPr>
          <w:p>
            <w:pPr>
              <w:rPr>
                <w:rFonts w:hint="default" w:ascii="Arial" w:hAnsi="Arial" w:cs="Arial"/>
                <w:i w:val="0"/>
                <w:color w:val="auto"/>
                <w:sz w:val="13"/>
                <w:szCs w:val="13"/>
                <w:highlight w:val="none"/>
                <w:u w:val="none"/>
              </w:rPr>
            </w:pPr>
          </w:p>
        </w:tc>
        <w:tc>
          <w:tcPr>
            <w:tcW w:w="94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单位：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90"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项目</w:t>
            </w:r>
          </w:p>
        </w:tc>
        <w:tc>
          <w:tcPr>
            <w:tcW w:w="27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行次</w:t>
            </w:r>
          </w:p>
        </w:tc>
        <w:tc>
          <w:tcPr>
            <w:tcW w:w="112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上年数</w:t>
            </w:r>
          </w:p>
        </w:tc>
        <w:tc>
          <w:tcPr>
            <w:tcW w:w="942"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本年数</w:t>
            </w:r>
          </w:p>
        </w:tc>
        <w:tc>
          <w:tcPr>
            <w:tcW w:w="2092"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项目</w:t>
            </w:r>
          </w:p>
        </w:tc>
        <w:tc>
          <w:tcPr>
            <w:tcW w:w="278"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行次</w:t>
            </w:r>
          </w:p>
        </w:tc>
        <w:tc>
          <w:tcPr>
            <w:tcW w:w="1125"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上年数</w:t>
            </w:r>
          </w:p>
        </w:tc>
        <w:tc>
          <w:tcPr>
            <w:tcW w:w="942" w:type="dxa"/>
            <w:tcBorders>
              <w:top w:val="single" w:color="000000" w:sz="4" w:space="0"/>
              <w:bottom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本年数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一、营业收入</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322,234,777.05</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330,228,469.32</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减：营业外支出</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361,282.96</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1,035,921.76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（一）利息净收入</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299,617,374.98</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297,105,655.26</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四、利润总额（亏损以“-”号填列）</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112,634,572.82</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133,067,846.70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利息收入</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430,293,754.23</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431,437,040.59</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减：所得税费用</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44,369,161.73</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22,052,059.34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利息支出</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130,676,379.25</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134,331,385.33</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五、净利润（亏损以“-”号填列）</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28</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68,265,411.09</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111,015,787.36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（二）手续费及佣金净收入</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1,933,590.20</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1,935,764.52</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归属于母公司所有者的净利润</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29</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68,265,411.09</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111,015,787.36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手续费及佣金收入</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6,858,824.94</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6,485,777.96</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少数股东损益</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手续费及佣金支出</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4,925,234.74</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4,550,013.44</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六、其他综合收益的税后净额</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31</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2,732,733.00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-4,851,449.66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（三）投资收益（损失以“-”号填列）</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20,039,285.54</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31,066,728.07</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（一）归属于母公司所有者的其他综合收益的税后净额</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32</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2,732,733.00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-4,851,449.66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其中：对联营企业和合营企业的投资收益</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1．以后不能重分类进损益的其他综合收益</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33</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以摊余成本计量的金融资产终止确认产生 </w:t>
            </w:r>
            <w:r>
              <w:rPr>
                <w:rFonts w:hint="eastAsia" w:ascii="宋体" w:hAnsi="宋体" w:eastAsia="宋体" w:cs="宋体"/>
                <w:i w:val="0"/>
                <w:color w:val="auto"/>
                <w:kern w:val="0"/>
                <w:sz w:val="13"/>
                <w:szCs w:val="13"/>
                <w:highlight w:val="none"/>
                <w:u w:val="none"/>
                <w:lang w:val="en-US" w:eastAsia="zh-CN" w:bidi="ar"/>
              </w:rPr>
              <w:br w:type="textWrapping"/>
            </w:r>
            <w:r>
              <w:rPr>
                <w:rFonts w:hint="eastAsia" w:ascii="宋体" w:hAnsi="宋体" w:eastAsia="宋体" w:cs="宋体"/>
                <w:i w:val="0"/>
                <w:color w:val="auto"/>
                <w:kern w:val="0"/>
                <w:sz w:val="13"/>
                <w:szCs w:val="13"/>
                <w:highlight w:val="none"/>
                <w:u w:val="none"/>
                <w:lang w:val="en-US" w:eastAsia="zh-CN" w:bidi="ar"/>
              </w:rPr>
              <w:t xml:space="preserve">            的收益</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13,958,052.76</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26,228,535.08</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2．以后将重分类进损益的其他综合收益</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34</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2,732,733.00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-4,851,449.66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（四）净敞口套期收益（损失以“-”号填列）</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（1）权益法下可转损益的其他综合收益</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35</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（五）公允价值变动收益（损失以“-”号填列）</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（2）其他债权投资公允价值变动</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36</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85,740.94</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340,093.84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（六）汇兑收益（损失以“-”号填列）</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（3）金融资产重分类计入其他综合收益的金额</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（七）其他业务收入</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181,031.96</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29,959.61</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（4）其他债权投资信用损失准备</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38</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2,646,992.06</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-5,191,543.50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（八）资产处置收益（损失以“-”号填列）</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23,782.21</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（5）现金流量套期损益的有效部分</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39</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（九）其他收益</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463,494.37</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66,579.65</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（6）外币财务报表折算差额</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40</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二、营业支出</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210,589,073.55</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197,248,457.54</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（7）其他</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41</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（一）税金及附加</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1,379,307.94</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1,516,220.27</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（二）归属于少数股东的其他综合收益的税后净额</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42</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（二）业务及管理费</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94,589,165.27</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95,993,729.51</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七、综合收益总额</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43</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70,998,144.09</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106,164,337.70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（三）信用减值损失（转回金额以“-”号填列）</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114,541,842.48</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99,644,849.90</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归属于母公司所有者的综合收益总额</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44</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70,998,144.09</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106,164,337.70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（四）其他资产减值损失（转回金额以“-”号填列）</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归属于少数股东的综合收益总额</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45</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（五）其他业务成本</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78,757.86</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93,657.86</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八、每股收益：</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46</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三、营业利润（亏损以“-”号填列）</w:t>
            </w:r>
          </w:p>
        </w:tc>
        <w:tc>
          <w:tcPr>
            <w:tcW w:w="27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w:t>
            </w:r>
          </w:p>
        </w:tc>
        <w:tc>
          <w:tcPr>
            <w:tcW w:w="112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111,645,703.50</w:t>
            </w:r>
          </w:p>
        </w:tc>
        <w:tc>
          <w:tcPr>
            <w:tcW w:w="94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132,980,011.78</w:t>
            </w:r>
          </w:p>
        </w:tc>
        <w:tc>
          <w:tcPr>
            <w:tcW w:w="209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（一）基本每股收益</w:t>
            </w:r>
          </w:p>
        </w:tc>
        <w:tc>
          <w:tcPr>
            <w:tcW w:w="27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47</w:t>
            </w:r>
          </w:p>
        </w:tc>
        <w:tc>
          <w:tcPr>
            <w:tcW w:w="112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0.63</w:t>
            </w:r>
          </w:p>
        </w:tc>
        <w:tc>
          <w:tcPr>
            <w:tcW w:w="94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90" w:type="dxa"/>
            <w:tcBorders>
              <w:left w:val="single" w:color="000000" w:sz="4" w:space="0"/>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加：营业外收入</w:t>
            </w:r>
          </w:p>
        </w:tc>
        <w:tc>
          <w:tcPr>
            <w:tcW w:w="277" w:type="dxa"/>
            <w:tcBorders>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24</w:t>
            </w:r>
          </w:p>
        </w:tc>
        <w:tc>
          <w:tcPr>
            <w:tcW w:w="1129"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1,350,152.28</w:t>
            </w:r>
          </w:p>
        </w:tc>
        <w:tc>
          <w:tcPr>
            <w:tcW w:w="942"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1,123,756.68</w:t>
            </w:r>
          </w:p>
        </w:tc>
        <w:tc>
          <w:tcPr>
            <w:tcW w:w="2092" w:type="dxa"/>
            <w:tcBorders>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（二）稀释每股收益</w:t>
            </w:r>
          </w:p>
        </w:tc>
        <w:tc>
          <w:tcPr>
            <w:tcW w:w="278" w:type="dxa"/>
            <w:tcBorders>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48</w:t>
            </w:r>
          </w:p>
        </w:tc>
        <w:tc>
          <w:tcPr>
            <w:tcW w:w="1125"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0.63</w:t>
            </w:r>
          </w:p>
        </w:tc>
        <w:tc>
          <w:tcPr>
            <w:tcW w:w="942" w:type="dxa"/>
            <w:tcBorders>
              <w:bottom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0.72</w:t>
            </w:r>
          </w:p>
        </w:tc>
      </w:tr>
    </w:tbl>
    <w:p>
      <w:pPr>
        <w:ind w:firstLine="643" w:firstLineChars="200"/>
        <w:rPr>
          <w:rFonts w:hint="eastAsia"/>
          <w:highlight w:val="none"/>
          <w:lang w:val="en-US" w:eastAsia="zh-CN"/>
        </w:rPr>
      </w:pPr>
      <w:r>
        <w:rPr>
          <w:rFonts w:hint="eastAsia" w:ascii="仿宋_GB2312" w:hAnsi="仿宋_GB2312" w:eastAsia="仿宋_GB2312" w:cs="仿宋_GB2312"/>
          <w:b/>
          <w:bCs/>
          <w:color w:val="auto"/>
          <w:sz w:val="32"/>
          <w:szCs w:val="32"/>
          <w:highlight w:val="none"/>
          <w:lang w:val="en-US" w:eastAsia="zh-CN"/>
        </w:rPr>
        <w:t>3.现金流量表</w:t>
      </w:r>
    </w:p>
    <w:tbl>
      <w:tblPr>
        <w:tblStyle w:val="14"/>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1"/>
        <w:gridCol w:w="265"/>
        <w:gridCol w:w="1110"/>
        <w:gridCol w:w="1072"/>
        <w:gridCol w:w="1993"/>
        <w:gridCol w:w="266"/>
        <w:gridCol w:w="1106"/>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991"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项目</w:t>
            </w:r>
          </w:p>
        </w:tc>
        <w:tc>
          <w:tcPr>
            <w:tcW w:w="265"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行次</w:t>
            </w:r>
          </w:p>
        </w:tc>
        <w:tc>
          <w:tcPr>
            <w:tcW w:w="11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上年数</w:t>
            </w:r>
          </w:p>
        </w:tc>
        <w:tc>
          <w:tcPr>
            <w:tcW w:w="1072"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本年数</w:t>
            </w:r>
          </w:p>
        </w:tc>
        <w:tc>
          <w:tcPr>
            <w:tcW w:w="1993"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项目</w:t>
            </w:r>
          </w:p>
        </w:tc>
        <w:tc>
          <w:tcPr>
            <w:tcW w:w="266"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行次</w:t>
            </w:r>
          </w:p>
        </w:tc>
        <w:tc>
          <w:tcPr>
            <w:tcW w:w="1106"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上年数</w:t>
            </w:r>
          </w:p>
        </w:tc>
        <w:tc>
          <w:tcPr>
            <w:tcW w:w="1072" w:type="dxa"/>
            <w:tcBorders>
              <w:top w:val="single" w:color="000000" w:sz="4" w:space="0"/>
              <w:bottom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本年数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一、经营活动产生的现金流量：</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购建固定资产、无形资产和其他长期资产支付的现金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9,983,959.79</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4,314,505.12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客户存款和同业存放款项净增加额</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622,150,509.11</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462,058,899.87</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支付其他与投资活动有关的现金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向中央银行借款净增加额</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90,000,000.00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60,000,000.00</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投资活动现金流出小计</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24</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3,226,959,050.75</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3,733,612,690.83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向其他金融机构拆入资金净增加额</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投资活动产生的现金流量净额</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181,591,514.45</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-376,641,064.53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收取利息、手续费及佣金的现金</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388,618,879.92</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390,111,907.45</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三、筹资活动产生的现金流量：</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1072" w:type="dxa"/>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收到其他与经营活动有关的现金</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-108,507,060.10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-169,314,391.70</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吸收投资收到的现金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经营活动现金流入小计</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992,262,328.93</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742,856,415.62</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其中：子公司吸收少数股东投资收到的现金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28</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客户贷款及垫款净增加额</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643,649,577.48</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519,946,667.80</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发行债券收到的现金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29</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存放中央银行和同业款项净增加额</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18,557,802.24</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-2,872,999.16</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收到其他与筹资活动有关的现金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30</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支付利息、手续费及佣金的现金</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104,889,353.81</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130,445,076.46</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筹资活动现金流入小计</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31</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支付给职工以及为职工支付的现金</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56,720,668.61</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51,441,096.06</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偿还债务支付的现金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32</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472,505.00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676,421.98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支付的各项税费</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41,238,215.27</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14,390,875.18</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分配股利、利润或偿付利息支付的现金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33</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15,211,978.69</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13,688,919.50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支付其他与经营活动有关的现金</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338,637,823.66</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-369,031,180.79</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其中：子公司支付给少数股东的股利、利润</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34</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经营活动现金流出小计</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1,203,693,441.07</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344,319,535.55</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支付其他与筹资活动有关的现金</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35</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经营活动产生的现金流量净额</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-211,431,112.14</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398,536,880.07</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筹资活动现金流出小计</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36</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15,684,483.69</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14,365,341.48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二、投资活动产生的现金流量：</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筹资活动产生的现金流量净额</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37</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-15,684,483.69</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-14,365,341.48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收回投资收到的现金</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3,332,883,092.13</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3,280,004,581.74</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四、汇率变动对现金及现金等价物的影响</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38</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取得投资收益收到的现金</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73,721,140.16</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76,567,739.55</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五、现金及现金等价物净增加额</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39</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-45,524,081.38</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7,530,474.06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收到其他与投资活动有关的现金</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1,946,332.91</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399,305.01</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加：期初现金及现金等价物余额</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40</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166,650,298.93</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121,126,217.55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投资活动现金流入小计</w:t>
            </w:r>
          </w:p>
        </w:tc>
        <w:tc>
          <w:tcPr>
            <w:tcW w:w="2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w:t>
            </w:r>
          </w:p>
        </w:tc>
        <w:tc>
          <w:tcPr>
            <w:tcW w:w="111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3,408,550,565.20</w:t>
            </w:r>
          </w:p>
        </w:tc>
        <w:tc>
          <w:tcPr>
            <w:tcW w:w="1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3,356,971,626.30</w:t>
            </w:r>
          </w:p>
        </w:tc>
        <w:tc>
          <w:tcPr>
            <w:tcW w:w="199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六、期末现金及现金等价物余额</w:t>
            </w:r>
          </w:p>
        </w:tc>
        <w:tc>
          <w:tcPr>
            <w:tcW w:w="2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41</w:t>
            </w: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121,126,217.55</w:t>
            </w:r>
          </w:p>
        </w:tc>
        <w:tc>
          <w:tcPr>
            <w:tcW w:w="107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128,656,691.61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91" w:type="dxa"/>
            <w:tcBorders>
              <w:left w:val="single" w:color="000000" w:sz="4" w:space="0"/>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投资支付的现金</w:t>
            </w:r>
          </w:p>
        </w:tc>
        <w:tc>
          <w:tcPr>
            <w:tcW w:w="265" w:type="dxa"/>
            <w:tcBorders>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w:t>
            </w:r>
          </w:p>
        </w:tc>
        <w:tc>
          <w:tcPr>
            <w:tcW w:w="1110"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3,216,975,090.96</w:t>
            </w:r>
          </w:p>
        </w:tc>
        <w:tc>
          <w:tcPr>
            <w:tcW w:w="1072"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3,729,298,185.71</w:t>
            </w:r>
          </w:p>
        </w:tc>
        <w:tc>
          <w:tcPr>
            <w:tcW w:w="1993" w:type="dxa"/>
            <w:tcBorders>
              <w:bottom w:val="single" w:color="000000" w:sz="12" w:space="0"/>
              <w:right w:val="single" w:color="000000" w:sz="4" w:space="0"/>
            </w:tcBorders>
            <w:shd w:val="clear" w:color="FFFFFF" w:fill="C0C0C0"/>
            <w:vAlign w:val="center"/>
          </w:tcPr>
          <w:p>
            <w:pPr>
              <w:jc w:val="left"/>
              <w:rPr>
                <w:rFonts w:hint="eastAsia" w:ascii="宋体" w:hAnsi="宋体" w:eastAsia="宋体" w:cs="宋体"/>
                <w:i w:val="0"/>
                <w:color w:val="auto"/>
                <w:sz w:val="13"/>
                <w:szCs w:val="13"/>
                <w:highlight w:val="none"/>
                <w:u w:val="none"/>
              </w:rPr>
            </w:pPr>
          </w:p>
        </w:tc>
        <w:tc>
          <w:tcPr>
            <w:tcW w:w="266" w:type="dxa"/>
            <w:tcBorders>
              <w:bottom w:val="single" w:color="000000" w:sz="12"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1106" w:type="dxa"/>
            <w:tcBorders>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auto"/>
                <w:sz w:val="13"/>
                <w:szCs w:val="13"/>
                <w:highlight w:val="none"/>
                <w:u w:val="none"/>
              </w:rPr>
            </w:pPr>
          </w:p>
        </w:tc>
        <w:tc>
          <w:tcPr>
            <w:tcW w:w="1072" w:type="dxa"/>
            <w:tcBorders>
              <w:bottom w:val="single" w:color="000000" w:sz="12" w:space="0"/>
            </w:tcBorders>
            <w:shd w:val="clear" w:color="auto" w:fill="auto"/>
            <w:vAlign w:val="center"/>
          </w:tcPr>
          <w:p>
            <w:pPr>
              <w:jc w:val="right"/>
              <w:rPr>
                <w:rFonts w:hint="eastAsia" w:ascii="宋体" w:hAnsi="宋体" w:eastAsia="宋体" w:cs="宋体"/>
                <w:i w:val="0"/>
                <w:color w:val="auto"/>
                <w:sz w:val="13"/>
                <w:szCs w:val="13"/>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4.所有者权益变动表</w:t>
      </w:r>
    </w:p>
    <w:tbl>
      <w:tblPr>
        <w:tblStyle w:val="14"/>
        <w:tblW w:w="88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178"/>
        <w:gridCol w:w="942"/>
        <w:gridCol w:w="298"/>
        <w:gridCol w:w="320"/>
        <w:gridCol w:w="298"/>
        <w:gridCol w:w="812"/>
        <w:gridCol w:w="330"/>
        <w:gridCol w:w="877"/>
        <w:gridCol w:w="942"/>
        <w:gridCol w:w="942"/>
        <w:gridCol w:w="942"/>
        <w:gridCol w:w="334"/>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项目</w:t>
            </w:r>
          </w:p>
        </w:tc>
        <w:tc>
          <w:tcPr>
            <w:tcW w:w="178"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行次</w:t>
            </w:r>
          </w:p>
        </w:tc>
        <w:tc>
          <w:tcPr>
            <w:tcW w:w="6703" w:type="dxa"/>
            <w:gridSpan w:val="10"/>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本年金额</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178"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6703" w:type="dxa"/>
            <w:gridSpan w:val="10"/>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归属于母公司所有者权益</w:t>
            </w:r>
          </w:p>
        </w:tc>
        <w:tc>
          <w:tcPr>
            <w:tcW w:w="334"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少数股东权益</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178"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942"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实收资本 </w:t>
            </w:r>
            <w:r>
              <w:rPr>
                <w:rFonts w:hint="eastAsia" w:ascii="宋体" w:hAnsi="宋体" w:eastAsia="宋体" w:cs="宋体"/>
                <w:i w:val="0"/>
                <w:color w:val="auto"/>
                <w:kern w:val="0"/>
                <w:sz w:val="13"/>
                <w:szCs w:val="13"/>
                <w:highlight w:val="none"/>
                <w:u w:val="none"/>
                <w:lang w:val="en-US" w:eastAsia="zh-CN" w:bidi="ar"/>
              </w:rPr>
              <w:br w:type="textWrapping"/>
            </w:r>
            <w:r>
              <w:rPr>
                <w:rFonts w:hint="eastAsia" w:ascii="宋体" w:hAnsi="宋体" w:eastAsia="宋体" w:cs="宋体"/>
                <w:i w:val="0"/>
                <w:color w:val="auto"/>
                <w:kern w:val="0"/>
                <w:sz w:val="13"/>
                <w:szCs w:val="13"/>
                <w:highlight w:val="none"/>
                <w:u w:val="none"/>
                <w:lang w:val="en-US" w:eastAsia="zh-CN" w:bidi="ar"/>
              </w:rPr>
              <w:t>(或股本)</w:t>
            </w:r>
          </w:p>
        </w:tc>
        <w:tc>
          <w:tcPr>
            <w:tcW w:w="916"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其他权益工具</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资本公积</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减：库存股</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其他综合收益</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盈余公积</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一般风险准备</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未分配利润</w:t>
            </w:r>
          </w:p>
        </w:tc>
        <w:tc>
          <w:tcPr>
            <w:tcW w:w="334"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178"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29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优先股</w:t>
            </w:r>
          </w:p>
        </w:tc>
        <w:tc>
          <w:tcPr>
            <w:tcW w:w="320"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永续债</w:t>
            </w:r>
          </w:p>
        </w:tc>
        <w:tc>
          <w:tcPr>
            <w:tcW w:w="29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其他</w:t>
            </w:r>
          </w:p>
        </w:tc>
        <w:tc>
          <w:tcPr>
            <w:tcW w:w="812"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334"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栏   次</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13"/>
                <w:szCs w:val="13"/>
                <w:highlight w:val="none"/>
                <w:u w:val="none"/>
              </w:rPr>
            </w:pPr>
          </w:p>
        </w:tc>
        <w:tc>
          <w:tcPr>
            <w:tcW w:w="942"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w:t>
            </w:r>
          </w:p>
        </w:tc>
        <w:tc>
          <w:tcPr>
            <w:tcW w:w="29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w:t>
            </w:r>
          </w:p>
        </w:tc>
        <w:tc>
          <w:tcPr>
            <w:tcW w:w="320"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w:t>
            </w:r>
          </w:p>
        </w:tc>
        <w:tc>
          <w:tcPr>
            <w:tcW w:w="29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w:t>
            </w:r>
          </w:p>
        </w:tc>
        <w:tc>
          <w:tcPr>
            <w:tcW w:w="330"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w:t>
            </w:r>
          </w:p>
        </w:tc>
        <w:tc>
          <w:tcPr>
            <w:tcW w:w="877"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w:t>
            </w:r>
          </w:p>
        </w:tc>
        <w:tc>
          <w:tcPr>
            <w:tcW w:w="942"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w:t>
            </w:r>
          </w:p>
        </w:tc>
        <w:tc>
          <w:tcPr>
            <w:tcW w:w="942"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w:t>
            </w:r>
          </w:p>
        </w:tc>
        <w:tc>
          <w:tcPr>
            <w:tcW w:w="942"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一、上年年末余额</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151,693,470.00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7,939,758.61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7,400,799.71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145,696,092.53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212,663,511.86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366,694,860.93</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836,200,296.55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加：会计政策变更</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    前期差错更正</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二、本年年初余额</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151,693,470.00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7,939,758.61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7,400,799.71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145,696,092.53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212,663,511.86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366,694,860.93</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836,259,696.55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三、本年增减变动金额（减少以“-”号填列）</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1,516,935.00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-4,851,449.66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12,781,673.16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601,569.45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84,581,701.90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55,828,797.09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（一）综合收益总额</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-4,851,449.66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111,015,787.36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70,998,144.09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（二）所有者投入和减少资本</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1,516,935.00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601,569.45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1．所有者投入的普通股</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1,516,935.00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2．其他权益工具持有者投入资本</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3．股份支付计入所有者权益的金额</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4．其他</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601,569.45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（三）利润分配</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12,781,673.16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-26,434,085.46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-15,169,347.00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1．提取盈余公积</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12,781,673.16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-12,781,673.16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2．提取一般风险准备</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3．对所有者（或股东）的分配</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-13,652,412.30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-15,169,347.00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4．对其他权益工具持有者的分配</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5．其他</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（四）所有者权益内部结转</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1．资本公积转增资本（或股本）</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2．盈余公积转增资本（或股本）</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3．盈余公积弥补亏损</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4．一般风险准备弥补亏损</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5．设定受益计划变动额结转留存收益</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 xml:space="preserve">6．其他综合收益结转留存收益 </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7．其他</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四、本年年末余额</w:t>
            </w:r>
          </w:p>
        </w:tc>
        <w:tc>
          <w:tcPr>
            <w:tcW w:w="178" w:type="dxa"/>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153,210,405.00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7,939,758.61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2,549,350.05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158,477,765.69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213,265,081.31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451,276,562.83</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892,088,493.64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（二）会计报表附注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1.重要会计政策和会计估计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（1）会计报表编制所依据的会计准则、会计年度、记账本位币、记账基础和计价原则</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①遵循相关制度的声明</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财务报表以持续经营假设为基础，根据实际发生的交易和事项，按照《企业会计准则——基本准则》和其他各项具体会计准则、应用指南、企业会计准则解释及其他相关规定（以下统称为“企业会计准则”）编制。</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②会计年度</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本行会计年度自公历1月1日起至12月31日止。</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③记账基础和计量原则</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根据企业会计准则的相关规定，本行会计核算以权责发生制为基础。除某些金融工具外，本财务报表均以历史成本为计量基础。资产如果发生减值，则按照相关规定计提相应的减值准备。</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④记账本位币及列报货币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本行的记账本位币为人民币，编制财务报表采用的货币为人民币。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⑤持续经营</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本行自本报告期末至少12个月内具备持续经营能力，不存在影响持续经营能力的重大事项，编制财务报表所依据的持续经营假设是合理的。</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（2）贷款的种类和范围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本行信贷资产包括贷款、信用卡透支、贴现资产、贸易融资、垫款，贷款包括农户贷款、农村经济组织贷款、农村企业贷款和非农贷款等。</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（3）投资核算方法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以摊余成本计量的金融资产。采用实际利率法，按摊余成本进行后续计量。资产负债表日，以预期信用损失为基础，对以摊余成本计量的金融资产的账面价值进行检查，应当计提或冲回减值准备。收回或处置以摊余成本计量的金融资产时，应将取得的价款与该金融资产账面余额之间的差额计入当期损益。</w:t>
      </w:r>
    </w:p>
    <w:p>
      <w:pPr>
        <w:pStyle w:val="2"/>
        <w:keepNext w:val="0"/>
        <w:keepLines w:val="0"/>
        <w:pageBreakBefore w:val="0"/>
        <w:widowControl w:val="0"/>
        <w:kinsoku/>
        <w:wordWrap/>
        <w:overflowPunct/>
        <w:topLinePunct w:val="0"/>
        <w:autoSpaceDE/>
        <w:autoSpaceDN/>
        <w:bidi w:val="0"/>
        <w:adjustRightInd/>
        <w:snapToGrid/>
        <w:spacing w:before="12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以公允价值计量且其变动计入其他综合收益的金融资产。包括贴现资产、其他债权投资和其他权益工具投资。贴现资产按照票面或合同金额作为初始确认金额；其他债权投资应当按取得该金融资产的公允价值和相关交易费用之和作为初始确认金额；其他权益工具投资应当按取得该金融资产的公允价值和相关交易费用之和作为初始确认金额。</w:t>
      </w:r>
    </w:p>
    <w:p>
      <w:pPr>
        <w:pStyle w:val="2"/>
        <w:keepNext w:val="0"/>
        <w:keepLines w:val="0"/>
        <w:pageBreakBefore w:val="0"/>
        <w:widowControl w:val="0"/>
        <w:kinsoku/>
        <w:wordWrap/>
        <w:overflowPunct/>
        <w:topLinePunct w:val="0"/>
        <w:autoSpaceDE/>
        <w:autoSpaceDN/>
        <w:bidi w:val="0"/>
        <w:adjustRightInd/>
        <w:snapToGrid/>
        <w:spacing w:before="12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以公允价值计量且其变动计入当期损益的金融资产。按照取得时的公允价值作为初始确认金额，相关的交易费用在发生时计入当期损益。资产负债表日，其公允价值变动计入当期损益。处置时，其公允价值与初始入账金额之间的差额应确认为投资收益。</w:t>
      </w:r>
    </w:p>
    <w:p>
      <w:pPr>
        <w:pStyle w:val="2"/>
        <w:keepNext w:val="0"/>
        <w:keepLines w:val="0"/>
        <w:pageBreakBefore w:val="0"/>
        <w:widowControl w:val="0"/>
        <w:kinsoku/>
        <w:wordWrap/>
        <w:overflowPunct/>
        <w:topLinePunct w:val="0"/>
        <w:autoSpaceDE/>
        <w:autoSpaceDN/>
        <w:bidi w:val="0"/>
        <w:adjustRightInd/>
        <w:snapToGrid/>
        <w:spacing w:before="12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④长期股权投资。以支付现金取得的长期股权投资初始投资成本包括与取得长期股权投资直接相关的费用、税金及其他必要支出。以发行权益性证券取得的长期股权投资，按照发行权益性证券的公允价值作为初始投资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（4）计提各项资产减值准备的范围和方法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本行按照预期信用损失法对以摊余成本计量或以公允价值计量且其变动计入其他综合收益的信贷类、非信贷类表内承担信用风险的金融资产及承担信用风险的表外项目计提减值准备。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（5）收入确认原则和方法</w:t>
      </w:r>
    </w:p>
    <w:p>
      <w:pPr>
        <w:pStyle w:val="2"/>
        <w:keepNext w:val="0"/>
        <w:keepLines w:val="0"/>
        <w:pageBreakBefore w:val="0"/>
        <w:widowControl w:val="0"/>
        <w:kinsoku/>
        <w:wordWrap/>
        <w:overflowPunct/>
        <w:topLinePunct w:val="0"/>
        <w:autoSpaceDE/>
        <w:autoSpaceDN/>
        <w:bidi w:val="0"/>
        <w:adjustRightInd/>
        <w:snapToGrid/>
        <w:spacing w:before="12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收入主要包括利息收入（含债券投资利息收入）、金融机构往来收入、手续费及佣金收入、其他业务收入等。其中利息收入按照他人使用货币资金的时间和实际利率计算确定。金融机构往来收入按照摊余成本、存续期间和实际利率分期计算确认。手续费及佣金收入按照有关合同或协议约定的收费时间和方法计算确定。其他业务收入主要包括投资性房地产租赁收入、抵债资产租赁收入、管理费收入等，按照实际取得的金额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（6）衍生金融工具的计价方法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本行无衍生金融工具业务。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（7）外币业务和报表折算方法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本行无外币业务。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（8）合并会计报表的编制方法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本行无需编制合并会计报表。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（9）固定资产计价和折旧方法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固定资产应当按照成本进行初始计量</w:t>
      </w:r>
      <w:r>
        <w:rPr>
          <w:rFonts w:hint="eastAsia" w:ascii="仿宋_GB2312" w:hAnsi="仿宋_GB2312" w:eastAsia="仿宋_GB2312" w:cs="仿宋_GB2312"/>
          <w:color w:val="auto"/>
          <w:sz w:val="32"/>
          <w:szCs w:val="32"/>
          <w:highlight w:val="none"/>
          <w:lang w:val="en-US" w:eastAsia="zh-CN"/>
        </w:rPr>
        <w:t>，并</w:t>
      </w:r>
      <w:r>
        <w:rPr>
          <w:rFonts w:hint="default" w:ascii="仿宋_GB2312" w:hAnsi="仿宋_GB2312" w:eastAsia="仿宋_GB2312" w:cs="仿宋_GB2312"/>
          <w:color w:val="auto"/>
          <w:sz w:val="32"/>
          <w:szCs w:val="32"/>
          <w:highlight w:val="none"/>
          <w:lang w:val="en-US" w:eastAsia="zh-CN"/>
        </w:rPr>
        <w:t>根据与固定资产有关的经济利益的预期实现方式，采用年限平均法</w:t>
      </w:r>
      <w:r>
        <w:rPr>
          <w:rFonts w:hint="eastAsia" w:ascii="仿宋_GB2312" w:hAnsi="仿宋_GB2312" w:eastAsia="仿宋_GB2312" w:cs="仿宋_GB2312"/>
          <w:color w:val="auto"/>
          <w:sz w:val="32"/>
          <w:szCs w:val="32"/>
          <w:highlight w:val="none"/>
          <w:lang w:val="en-US" w:eastAsia="zh-CN"/>
        </w:rPr>
        <w:t>，按月计提折旧，计入当期损益。</w:t>
      </w:r>
    </w:p>
    <w:p>
      <w:pPr>
        <w:ind w:firstLine="640" w:firstLineChars="200"/>
        <w:rPr>
          <w:rFonts w:hint="eastAsia"/>
          <w:color w:val="auto"/>
          <w:highlight w:val="none"/>
          <w:lang w:val="en-US" w:eastAsia="zh-CN"/>
        </w:rPr>
      </w:pPr>
      <w:r>
        <w:rPr>
          <w:rFonts w:hint="default" w:ascii="仿宋_GB2312" w:hAnsi="仿宋_GB2312" w:eastAsia="仿宋_GB2312" w:cs="仿宋_GB2312"/>
          <w:color w:val="auto"/>
          <w:sz w:val="32"/>
          <w:szCs w:val="32"/>
          <w:highlight w:val="none"/>
          <w:lang w:val="en-US" w:eastAsia="zh-CN"/>
        </w:rPr>
        <w:t>本行各类固定资产的预计使用年限和预计净残值率分别为：</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b/>
                <w:bCs/>
                <w:color w:val="auto"/>
                <w:highlight w:val="none"/>
                <w:vertAlign w:val="baseline"/>
                <w:lang w:val="en-US" w:eastAsia="zh-CN"/>
              </w:rPr>
            </w:pPr>
            <w:r>
              <w:rPr>
                <w:rFonts w:hint="default" w:ascii="仿宋_GB2312" w:hAnsi="仿宋_GB2312" w:eastAsia="仿宋_GB2312" w:cs="仿宋_GB2312"/>
                <w:b/>
                <w:bCs/>
                <w:color w:val="auto"/>
                <w:sz w:val="28"/>
                <w:szCs w:val="28"/>
                <w:highlight w:val="none"/>
                <w:lang w:val="en-US" w:eastAsia="zh-CN"/>
              </w:rPr>
              <w:t>类  别</w:t>
            </w:r>
          </w:p>
        </w:tc>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b/>
                <w:bCs/>
                <w:color w:val="auto"/>
                <w:highlight w:val="none"/>
                <w:vertAlign w:val="baseline"/>
                <w:lang w:val="en-US" w:eastAsia="zh-CN"/>
              </w:rPr>
            </w:pPr>
            <w:r>
              <w:rPr>
                <w:rFonts w:hint="default" w:ascii="仿宋_GB2312" w:hAnsi="仿宋_GB2312" w:eastAsia="仿宋_GB2312" w:cs="仿宋_GB2312"/>
                <w:b/>
                <w:bCs/>
                <w:color w:val="auto"/>
                <w:sz w:val="28"/>
                <w:szCs w:val="28"/>
                <w:highlight w:val="none"/>
                <w:lang w:val="en-US" w:eastAsia="zh-CN"/>
              </w:rPr>
              <w:t>使用年限（年）</w:t>
            </w:r>
          </w:p>
        </w:tc>
        <w:tc>
          <w:tcPr>
            <w:tcW w:w="3021" w:type="dxa"/>
            <w:tcBorders>
              <w:top w:val="single" w:color="auto" w:sz="4" w:space="0"/>
              <w:left w:val="single" w:color="auto" w:sz="4" w:space="0"/>
              <w:bottom w:val="single" w:color="auto" w:sz="4" w:space="0"/>
              <w:right w:val="single" w:color="auto" w:sz="4" w:space="0"/>
            </w:tcBorders>
          </w:tcPr>
          <w:p>
            <w:pPr>
              <w:pStyle w:val="2"/>
              <w:jc w:val="center"/>
              <w:rPr>
                <w:rFonts w:hint="default"/>
                <w:b/>
                <w:bCs/>
                <w:color w:val="auto"/>
                <w:highlight w:val="none"/>
                <w:vertAlign w:val="baseline"/>
                <w:lang w:val="en-US" w:eastAsia="zh-CN"/>
              </w:rPr>
            </w:pPr>
            <w:r>
              <w:rPr>
                <w:rFonts w:hint="default" w:ascii="仿宋_GB2312" w:hAnsi="仿宋_GB2312" w:eastAsia="仿宋_GB2312" w:cs="仿宋_GB2312"/>
                <w:b/>
                <w:bCs/>
                <w:color w:val="auto"/>
                <w:sz w:val="28"/>
                <w:szCs w:val="28"/>
                <w:highlight w:val="none"/>
                <w:lang w:val="en-US" w:eastAsia="zh-CN"/>
              </w:rPr>
              <w:t>残值率（%）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房屋及建筑物</w:t>
            </w:r>
          </w:p>
        </w:tc>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lang w:val="en-US" w:eastAsia="zh-CN"/>
              </w:rPr>
            </w:pPr>
            <w:r>
              <w:rPr>
                <w:rFonts w:hint="eastAsia"/>
                <w:color w:val="auto"/>
                <w:highlight w:val="none"/>
                <w:lang w:val="en-US" w:eastAsia="zh-CN"/>
              </w:rPr>
              <w:t>20</w:t>
            </w:r>
          </w:p>
        </w:tc>
        <w:tc>
          <w:tcPr>
            <w:tcW w:w="3021"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机器设备</w:t>
            </w:r>
          </w:p>
        </w:tc>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3021"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运输工具</w:t>
            </w:r>
          </w:p>
        </w:tc>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3021"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电子设备</w:t>
            </w:r>
          </w:p>
        </w:tc>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3021"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其他固定资产</w:t>
            </w:r>
          </w:p>
        </w:tc>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3021"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（10）无形资产计价及摊销政策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本行</w:t>
      </w:r>
      <w:r>
        <w:rPr>
          <w:rFonts w:hint="default" w:ascii="仿宋_GB2312" w:hAnsi="仿宋_GB2312" w:eastAsia="仿宋_GB2312" w:cs="仿宋_GB2312"/>
          <w:color w:val="auto"/>
          <w:sz w:val="32"/>
          <w:szCs w:val="32"/>
          <w:highlight w:val="none"/>
          <w:lang w:val="en-US" w:eastAsia="zh-CN"/>
        </w:rPr>
        <w:t>无形资产按照成本进行初始计量。外购无形资产的成本，包括购买价款、相关税费以及直接归属于使该项资产达到预定用途所发生的其他支出。自行开发的无形资产的成本，包括自开发阶段至达到预定用途前所发生的支出总额，但是对于以前期间已经费用化的支出不再调整。以其他方式取得的无形资产的成本，按照相关规定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color w:val="auto"/>
          <w:sz w:val="32"/>
          <w:szCs w:val="32"/>
          <w:highlight w:val="none"/>
          <w:lang w:val="en-US" w:eastAsia="zh-CN"/>
        </w:rPr>
        <w:t>使用寿命有限的无形资产，应当自无形资产可供使用时起、至不再作为无形资产确认时止按月平均摊销，摊销金额应当计入当期损益。使用寿命不确定的无形资产不应摊销。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（11）长期待摊费用的摊销政策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长期待摊费用按直线法在受益期间内平均摊销。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（12）所得税的会计处理方法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FF0000"/>
          <w:kern w:val="2"/>
          <w:sz w:val="32"/>
          <w:szCs w:val="32"/>
          <w:highlight w:val="none"/>
          <w:lang w:val="en-US" w:eastAsia="zh-CN" w:bidi="ar-SA"/>
        </w:rPr>
      </w:pPr>
      <w:r>
        <w:rPr>
          <w:rFonts w:hint="default" w:ascii="仿宋_GB2312" w:hAnsi="仿宋_GB2312" w:eastAsia="仿宋_GB2312" w:cs="仿宋_GB2312"/>
          <w:color w:val="auto"/>
          <w:sz w:val="32"/>
          <w:szCs w:val="32"/>
          <w:highlight w:val="none"/>
          <w:lang w:val="en-US" w:eastAsia="zh-CN"/>
        </w:rPr>
        <w:t>企业所得税采用应付税款法核算。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2.会计政策和会计估计的变更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 xml:space="preserve"> 本行无需披露的会计政策和会计估计的变更事项。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3.或有事项和资产负债表日后事项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本行无需披露的或有事项及资产负债表日后事项。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重要资产转让及其出售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highlight w:val="none"/>
          <w:lang w:val="en-US" w:eastAsia="zh-CN"/>
        </w:rPr>
      </w:pPr>
      <w:r>
        <w:rPr>
          <w:rFonts w:hint="default" w:ascii="仿宋_GB2312" w:hAnsi="仿宋_GB2312" w:eastAsia="仿宋_GB2312" w:cs="仿宋_GB2312"/>
          <w:color w:val="auto"/>
          <w:sz w:val="32"/>
          <w:szCs w:val="32"/>
          <w:highlight w:val="none"/>
          <w:lang w:val="zh-CN" w:eastAsia="zh-CN"/>
        </w:rPr>
        <w:t>本行无重要资产转让及出售行为。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关联交易情况</w:t>
      </w:r>
    </w:p>
    <w:p>
      <w:pPr>
        <w:pStyle w:val="4"/>
        <w:keepNext w:val="0"/>
        <w:keepLines w:val="0"/>
        <w:pageBreakBefore w:val="0"/>
        <w:kinsoku/>
        <w:wordWrap/>
        <w:overflowPunct/>
        <w:topLinePunct w:val="0"/>
        <w:bidi w:val="0"/>
        <w:adjustRightInd/>
        <w:snapToGrid/>
        <w:spacing w:line="560" w:lineRule="exact"/>
        <w:ind w:left="0" w:leftChars="0" w:right="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（1）关联方与商业银行关系的性质</w:t>
      </w:r>
    </w:p>
    <w:p>
      <w:pPr>
        <w:pStyle w:val="4"/>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关联方包含董事、监事、高级管理人员以及具有大额授信、资产转移、保险资金运用等核心业务审批或决策权的人员、以上人员控制或施加重大影响的法人或非法人组织及其近亲属、持有或控制银行保险机构5%以上股权的，或者持股不足5%但对经营管理有重大影响的法人组织及其董事、监事、高级管理人员等，2024年末，本行关联方总数529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（2）关联交易的类型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关联交易分为一般关联交易、重大关联交易。一般关联交易指本行与一个关联方之间单笔交易金额占本行资本净额1%以下，且该笔交易发生后本行与该关联方的交易余额占本行资本净额5%以下的交易。重大关联交易指本行与一个关联方之间单笔交易金额占本行资本净额1%以上，或该笔交易发生后与该关联方的交易余额占本行资本净额5%以上的交易。</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截至</w:t>
      </w:r>
      <w:r>
        <w:rPr>
          <w:rFonts w:hint="eastAsia" w:ascii="仿宋_GB2312" w:hAnsi="仿宋_GB2312" w:eastAsia="仿宋_GB2312" w:cs="仿宋_GB2312"/>
          <w:color w:val="auto"/>
          <w:sz w:val="32"/>
          <w:szCs w:val="32"/>
          <w:highlight w:val="none"/>
          <w:lang w:val="en-US" w:eastAsia="zh-CN"/>
        </w:rPr>
        <w:t>2024年末，</w:t>
      </w:r>
      <w:r>
        <w:rPr>
          <w:rFonts w:hint="eastAsia" w:ascii="仿宋_GB2312" w:hAnsi="仿宋_GB2312" w:eastAsia="仿宋_GB2312" w:cs="仿宋_GB2312"/>
          <w:color w:val="auto"/>
          <w:sz w:val="32"/>
          <w:szCs w:val="32"/>
          <w:highlight w:val="none"/>
        </w:rPr>
        <w:t>本行关联方在本行的关联交易</w:t>
      </w:r>
      <w:r>
        <w:rPr>
          <w:rFonts w:hint="eastAsia" w:ascii="仿宋_GB2312" w:hAnsi="仿宋_GB2312" w:eastAsia="仿宋_GB2312" w:cs="仿宋_GB2312"/>
          <w:color w:val="auto"/>
          <w:sz w:val="32"/>
          <w:szCs w:val="32"/>
          <w:highlight w:val="none"/>
          <w:lang w:eastAsia="zh-CN"/>
        </w:rPr>
        <w:t>有授信类关联交易及非授信类关联交易，</w:t>
      </w:r>
      <w:r>
        <w:rPr>
          <w:rFonts w:hint="eastAsia" w:ascii="仿宋_GB2312" w:hAnsi="仿宋_GB2312" w:eastAsia="仿宋_GB2312" w:cs="仿宋_GB2312"/>
          <w:color w:val="auto"/>
          <w:sz w:val="32"/>
          <w:szCs w:val="32"/>
          <w:highlight w:val="none"/>
        </w:rPr>
        <w:t>均为一般关联交易，无重大关联交易情况。</w:t>
      </w:r>
      <w:r>
        <w:rPr>
          <w:rFonts w:hint="eastAsia" w:ascii="仿宋_GB2312" w:hAnsi="仿宋_GB2312" w:eastAsia="仿宋_GB2312" w:cs="仿宋_GB2312"/>
          <w:color w:val="auto"/>
          <w:sz w:val="32"/>
          <w:szCs w:val="32"/>
          <w:highlight w:val="none"/>
          <w:lang w:eastAsia="zh-CN"/>
        </w:rPr>
        <w:t>授信类关联交易为</w:t>
      </w:r>
      <w:r>
        <w:rPr>
          <w:rFonts w:hint="eastAsia" w:ascii="仿宋_GB2312" w:hAnsi="仿宋_GB2312" w:eastAsia="仿宋_GB2312" w:cs="仿宋_GB2312"/>
          <w:color w:val="auto"/>
          <w:sz w:val="32"/>
          <w:szCs w:val="32"/>
          <w:highlight w:val="none"/>
        </w:rPr>
        <w:t>贷款授信</w:t>
      </w:r>
      <w:r>
        <w:rPr>
          <w:rFonts w:hint="eastAsia" w:ascii="仿宋_GB2312" w:hAnsi="仿宋_GB2312" w:eastAsia="仿宋_GB2312" w:cs="仿宋_GB2312"/>
          <w:color w:val="auto"/>
          <w:sz w:val="32"/>
          <w:szCs w:val="32"/>
          <w:highlight w:val="none"/>
          <w:lang w:eastAsia="zh-CN"/>
        </w:rPr>
        <w:t>及贷款承诺</w:t>
      </w:r>
      <w:r>
        <w:rPr>
          <w:rFonts w:hint="eastAsia" w:ascii="仿宋_GB2312" w:hAnsi="仿宋_GB2312" w:eastAsia="仿宋_GB2312" w:cs="仿宋_GB2312"/>
          <w:color w:val="auto"/>
          <w:sz w:val="32"/>
          <w:szCs w:val="32"/>
          <w:highlight w:val="none"/>
        </w:rPr>
        <w:t>，无贸易融资、票据贴现、透支、债券投资、特定目的载体投资、票据承兑、开立信用证、保理、担保，以及其他实质上由商业银行或商业银行发行理财产品承担信用风险的业务等，</w:t>
      </w:r>
      <w:r>
        <w:rPr>
          <w:rFonts w:hint="eastAsia" w:ascii="仿宋_GB2312" w:hAnsi="仿宋_GB2312" w:eastAsia="仿宋_GB2312" w:cs="仿宋_GB2312"/>
          <w:color w:val="auto"/>
          <w:sz w:val="32"/>
          <w:szCs w:val="32"/>
          <w:highlight w:val="none"/>
          <w:lang w:eastAsia="zh-CN"/>
        </w:rPr>
        <w:t>非授信类关联交易只有关联方存入本行的定期存款，无</w:t>
      </w:r>
      <w:r>
        <w:rPr>
          <w:rFonts w:hint="eastAsia" w:ascii="仿宋_GB2312" w:hAnsi="仿宋_GB2312" w:eastAsia="仿宋_GB2312" w:cs="仿宋_GB2312"/>
          <w:color w:val="auto"/>
          <w:sz w:val="32"/>
          <w:szCs w:val="32"/>
          <w:highlight w:val="none"/>
        </w:rPr>
        <w:t>资产转移类关联交易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服务类关联交易</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其他类型关联交易</w:t>
      </w:r>
      <w:r>
        <w:rPr>
          <w:rFonts w:hint="eastAsia" w:ascii="仿宋_GB2312" w:hAnsi="仿宋_GB2312" w:eastAsia="仿宋_GB2312" w:cs="仿宋_GB2312"/>
          <w:color w:val="auto"/>
          <w:sz w:val="32"/>
          <w:szCs w:val="32"/>
          <w:highlight w:val="none"/>
          <w:lang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（3）关联交易的金额及相应比例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报告期内，</w:t>
      </w:r>
      <w:r>
        <w:rPr>
          <w:rFonts w:hint="eastAsia" w:ascii="仿宋_GB2312" w:hAnsi="仿宋_GB2312" w:eastAsia="仿宋_GB2312" w:cs="仿宋_GB2312"/>
          <w:color w:val="auto"/>
          <w:sz w:val="32"/>
          <w:szCs w:val="32"/>
          <w:highlight w:val="none"/>
        </w:rPr>
        <w:t>关联交易</w:t>
      </w:r>
      <w:r>
        <w:rPr>
          <w:rFonts w:hint="eastAsia" w:ascii="仿宋_GB2312" w:hAnsi="仿宋_GB2312" w:eastAsia="仿宋_GB2312" w:cs="仿宋_GB2312"/>
          <w:sz w:val="32"/>
          <w:szCs w:val="32"/>
          <w:highlight w:val="none"/>
          <w:lang w:val="en-US" w:eastAsia="zh-CN"/>
        </w:rPr>
        <w:t>167笔金</w:t>
      </w:r>
      <w:r>
        <w:rPr>
          <w:rFonts w:hint="eastAsia" w:ascii="仿宋_GB2312" w:hAnsi="仿宋_GB2312" w:eastAsia="仿宋_GB2312" w:cs="仿宋_GB2312"/>
          <w:sz w:val="32"/>
          <w:szCs w:val="32"/>
          <w:highlight w:val="none"/>
        </w:rPr>
        <w:t>额</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sz w:val="32"/>
          <w:szCs w:val="32"/>
          <w:highlight w:val="none"/>
          <w:lang w:val="en-US" w:eastAsia="zh-CN"/>
        </w:rPr>
        <w:t>3340.17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授信类关联交易</w:t>
      </w:r>
      <w:r>
        <w:rPr>
          <w:rFonts w:hint="eastAsia" w:ascii="仿宋_GB2312" w:hAnsi="仿宋_GB2312" w:eastAsia="仿宋_GB2312" w:cs="仿宋_GB2312"/>
          <w:sz w:val="32"/>
          <w:szCs w:val="32"/>
          <w:highlight w:val="none"/>
          <w:lang w:val="en-US" w:eastAsia="zh-CN"/>
        </w:rPr>
        <w:t>149笔金额2468.83</w:t>
      </w:r>
      <w:r>
        <w:rPr>
          <w:rFonts w:hint="eastAsia" w:ascii="仿宋_GB2312" w:hAnsi="仿宋_GB2312" w:eastAsia="仿宋_GB2312" w:cs="仿宋_GB2312"/>
          <w:color w:val="auto"/>
          <w:sz w:val="32"/>
          <w:szCs w:val="32"/>
          <w:highlight w:val="none"/>
          <w:lang w:val="en-US" w:eastAsia="zh-CN"/>
        </w:rPr>
        <w:t>万元，非授信类关联交易14笔共871.34万元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其中一般关联交易</w:t>
      </w:r>
      <w:r>
        <w:rPr>
          <w:rFonts w:hint="eastAsia" w:ascii="仿宋_GB2312" w:hAnsi="仿宋_GB2312" w:eastAsia="仿宋_GB2312" w:cs="仿宋_GB2312"/>
          <w:sz w:val="32"/>
          <w:szCs w:val="32"/>
          <w:highlight w:val="none"/>
          <w:lang w:val="en-US" w:eastAsia="zh-CN"/>
        </w:rPr>
        <w:t>167笔金</w:t>
      </w:r>
      <w:r>
        <w:rPr>
          <w:rFonts w:hint="eastAsia" w:ascii="仿宋_GB2312" w:hAnsi="仿宋_GB2312" w:eastAsia="仿宋_GB2312" w:cs="仿宋_GB2312"/>
          <w:sz w:val="32"/>
          <w:szCs w:val="32"/>
          <w:highlight w:val="none"/>
        </w:rPr>
        <w:t>额</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sz w:val="32"/>
          <w:szCs w:val="32"/>
          <w:highlight w:val="none"/>
          <w:lang w:val="en-US" w:eastAsia="zh-CN"/>
        </w:rPr>
        <w:t>3340.17</w:t>
      </w:r>
      <w:r>
        <w:rPr>
          <w:rFonts w:hint="eastAsia" w:ascii="仿宋_GB2312" w:hAnsi="仿宋_GB2312" w:eastAsia="仿宋_GB2312" w:cs="仿宋_GB2312"/>
          <w:color w:val="auto"/>
          <w:sz w:val="32"/>
          <w:szCs w:val="32"/>
          <w:highlight w:val="none"/>
        </w:rPr>
        <w:t>万元、重大关联交易</w:t>
      </w:r>
      <w:r>
        <w:rPr>
          <w:rFonts w:hint="eastAsia" w:ascii="仿宋_GB2312" w:hAnsi="仿宋_GB2312" w:eastAsia="仿宋_GB2312" w:cs="仿宋_GB2312"/>
          <w:color w:val="auto"/>
          <w:sz w:val="32"/>
          <w:szCs w:val="32"/>
          <w:highlight w:val="none"/>
          <w:lang w:val="en-US" w:eastAsia="zh-CN"/>
        </w:rPr>
        <w:t>0笔</w:t>
      </w:r>
      <w:r>
        <w:rPr>
          <w:rFonts w:hint="eastAsia" w:ascii="仿宋_GB2312" w:hAnsi="仿宋_GB2312" w:eastAsia="仿宋_GB2312" w:cs="仿宋_GB2312"/>
          <w:color w:val="auto"/>
          <w:sz w:val="32"/>
          <w:szCs w:val="32"/>
          <w:highlight w:val="none"/>
        </w:rPr>
        <w:t>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本行对最大单个关联方的授信金额</w:t>
      </w:r>
      <w:r>
        <w:rPr>
          <w:rFonts w:hint="eastAsia" w:ascii="仿宋_GB2312" w:hAnsi="仿宋_GB2312" w:eastAsia="仿宋_GB2312" w:cs="仿宋_GB2312"/>
          <w:color w:val="auto"/>
          <w:sz w:val="32"/>
          <w:szCs w:val="32"/>
          <w:highlight w:val="none"/>
          <w:lang w:val="en-US" w:eastAsia="zh-CN"/>
        </w:rPr>
        <w:t>180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rPr>
        <w:t>本行资本净额的0.</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对最大</w:t>
      </w:r>
      <w:r>
        <w:rPr>
          <w:rFonts w:hint="eastAsia" w:ascii="仿宋_GB2312" w:hAnsi="仿宋_GB2312" w:eastAsia="仿宋_GB2312" w:cs="仿宋_GB2312"/>
          <w:color w:val="auto"/>
          <w:sz w:val="32"/>
          <w:szCs w:val="32"/>
          <w:highlight w:val="none"/>
        </w:rPr>
        <w:t>单个</w:t>
      </w:r>
      <w:r>
        <w:rPr>
          <w:rFonts w:hint="eastAsia" w:ascii="仿宋_GB2312" w:hAnsi="仿宋_GB2312" w:eastAsia="仿宋_GB2312" w:cs="仿宋_GB2312"/>
          <w:color w:val="auto"/>
          <w:sz w:val="32"/>
          <w:szCs w:val="32"/>
          <w:highlight w:val="none"/>
          <w:lang w:eastAsia="zh-CN"/>
        </w:rPr>
        <w:t>关联集团</w:t>
      </w:r>
      <w:r>
        <w:rPr>
          <w:rFonts w:hint="eastAsia" w:ascii="仿宋_GB2312" w:hAnsi="仿宋_GB2312" w:eastAsia="仿宋_GB2312" w:cs="仿宋_GB2312"/>
          <w:color w:val="auto"/>
          <w:sz w:val="32"/>
          <w:szCs w:val="32"/>
          <w:highlight w:val="none"/>
        </w:rPr>
        <w:t>的授信金额</w:t>
      </w:r>
      <w:r>
        <w:rPr>
          <w:rFonts w:hint="eastAsia" w:ascii="仿宋_GB2312" w:hAnsi="仿宋_GB2312" w:eastAsia="仿宋_GB2312" w:cs="仿宋_GB2312"/>
          <w:color w:val="auto"/>
          <w:sz w:val="32"/>
          <w:szCs w:val="32"/>
          <w:highlight w:val="none"/>
          <w:lang w:val="en-US" w:eastAsia="zh-CN"/>
        </w:rPr>
        <w:t>183.66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rPr>
        <w:t>本行资本净额的0.</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%；对全部关联方的授信余额</w:t>
      </w:r>
      <w:r>
        <w:rPr>
          <w:rFonts w:hint="eastAsia" w:ascii="仿宋_GB2312" w:hAnsi="仿宋_GB2312" w:eastAsia="仿宋_GB2312" w:cs="仿宋_GB2312"/>
          <w:sz w:val="32"/>
          <w:szCs w:val="32"/>
          <w:highlight w:val="none"/>
          <w:lang w:val="en-US" w:eastAsia="zh-CN"/>
        </w:rPr>
        <w:t>2468.83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rPr>
        <w:t>本行资本净额的</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6.会计报表重要项目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（1）存放同业款项</w:t>
      </w:r>
      <w:r>
        <w:rPr>
          <w:rFonts w:hint="eastAsia" w:ascii="仿宋_GB2312" w:hAnsi="仿宋_GB2312" w:eastAsia="仿宋_GB2312" w:cs="仿宋_GB2312"/>
          <w:color w:val="auto"/>
          <w:sz w:val="32"/>
          <w:szCs w:val="32"/>
          <w:highlight w:val="none"/>
          <w:lang w:val="en-US" w:eastAsia="zh-CN"/>
        </w:rPr>
        <w:t>（按存放境内、境外同业披露年初数和期末数，金额单位：人民币/万元，自己设计表格）</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存放境内同业款项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11000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存放境外同业款项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合计</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11000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（2）拆放同业款项</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拆放境内同业款项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拆放境外同业款项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合计</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（3）贷款发放情况</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信用贷款</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409040.56</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473215.55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保证贷款</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49523.63</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57039.31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抵押贷款</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175626.6</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165269.28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质押贷款</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3080.10</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2704.5</w:t>
            </w:r>
          </w:p>
        </w:tc>
      </w:tr>
    </w:tbl>
    <w:p>
      <w:pPr>
        <w:rPr>
          <w:rFonts w:hint="eastAsia"/>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（4）不良贷款情况</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正常</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678297.03</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728912.32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关注</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9425.06</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11079.78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次级</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3255.29</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可疑</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5528.83</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4577.91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损失</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4404.11</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2317.77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（5）贷款损失准备</w:t>
      </w:r>
    </w:p>
    <w:p>
      <w:pPr>
        <w:pStyle w:val="2"/>
        <w:jc w:val="righ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金额单位：</w:t>
      </w:r>
      <w:r>
        <w:rPr>
          <w:rFonts w:hint="eastAsia" w:ascii="仿宋_GB2312" w:hAnsi="仿宋_GB2312" w:eastAsia="仿宋_GB2312" w:cs="仿宋_GB2312"/>
          <w:color w:val="auto"/>
          <w:sz w:val="30"/>
          <w:szCs w:val="30"/>
          <w:highlight w:val="none"/>
          <w:lang w:val="en-US" w:eastAsia="zh-CN"/>
        </w:rPr>
        <w:t>人民币/万元</w:t>
      </w:r>
    </w:p>
    <w:tbl>
      <w:tblPr>
        <w:tblStyle w:val="14"/>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500"/>
        <w:gridCol w:w="1830"/>
        <w:gridCol w:w="2188"/>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top w:val="single" w:color="auto" w:sz="4" w:space="0"/>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项  目</w:t>
            </w:r>
          </w:p>
        </w:tc>
        <w:tc>
          <w:tcPr>
            <w:tcW w:w="1500"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期初余额</w:t>
            </w:r>
          </w:p>
        </w:tc>
        <w:tc>
          <w:tcPr>
            <w:tcW w:w="1830"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lang w:val="en-US" w:eastAsia="zh-CN"/>
              </w:rPr>
            </w:pPr>
            <w:r>
              <w:rPr>
                <w:rFonts w:hint="default" w:ascii="仿宋_GB2312" w:hAnsi="仿宋_GB2312" w:eastAsia="仿宋_GB2312" w:cs="仿宋_GB2312"/>
                <w:b/>
                <w:bCs/>
                <w:color w:val="auto"/>
                <w:sz w:val="30"/>
                <w:szCs w:val="30"/>
                <w:highlight w:val="none"/>
                <w:lang w:eastAsia="zh-CN"/>
              </w:rPr>
              <w:t>本年计提</w:t>
            </w:r>
          </w:p>
        </w:tc>
        <w:tc>
          <w:tcPr>
            <w:tcW w:w="218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lang w:val="en-US" w:eastAsia="zh-CN"/>
              </w:rPr>
            </w:pPr>
            <w:r>
              <w:rPr>
                <w:rFonts w:hint="default" w:ascii="仿宋_GB2312" w:hAnsi="仿宋_GB2312" w:eastAsia="仿宋_GB2312" w:cs="仿宋_GB2312"/>
                <w:b/>
                <w:bCs/>
                <w:color w:val="auto"/>
                <w:sz w:val="30"/>
                <w:szCs w:val="30"/>
                <w:highlight w:val="none"/>
                <w:lang w:eastAsia="zh-CN"/>
              </w:rPr>
              <w:t>本期冲销</w:t>
            </w:r>
            <w:r>
              <w:rPr>
                <w:rFonts w:hint="default" w:ascii="仿宋_GB2312" w:hAnsi="仿宋_GB2312" w:eastAsia="仿宋_GB2312" w:cs="仿宋_GB2312"/>
                <w:b/>
                <w:bCs/>
                <w:color w:val="auto"/>
                <w:sz w:val="30"/>
                <w:szCs w:val="30"/>
                <w:highlight w:val="none"/>
                <w:lang w:val="en-US" w:eastAsia="zh-CN"/>
              </w:rPr>
              <w:t>/转回</w:t>
            </w:r>
          </w:p>
        </w:tc>
        <w:tc>
          <w:tcPr>
            <w:tcW w:w="1724" w:type="dxa"/>
            <w:tcBorders>
              <w:top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default" w:ascii="仿宋_GB2312" w:hAnsi="仿宋_GB2312" w:eastAsia="仿宋_GB2312" w:cs="仿宋_GB2312"/>
                <w:color w:val="auto"/>
                <w:sz w:val="30"/>
                <w:szCs w:val="30"/>
                <w:highlight w:val="none"/>
              </w:rPr>
              <w:t>贷款损失准备</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43,893.64</w:t>
            </w:r>
          </w:p>
        </w:tc>
        <w:tc>
          <w:tcPr>
            <w:tcW w:w="18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103,233.07</w:t>
            </w:r>
          </w:p>
        </w:tc>
        <w:tc>
          <w:tcPr>
            <w:tcW w:w="2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96,033.37</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51,093.34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金额单位：</w:t>
      </w:r>
      <w:r>
        <w:rPr>
          <w:rFonts w:hint="eastAsia" w:ascii="仿宋_GB2312" w:hAnsi="仿宋_GB2312" w:eastAsia="仿宋_GB2312" w:cs="仿宋_GB2312"/>
          <w:color w:val="auto"/>
          <w:sz w:val="30"/>
          <w:szCs w:val="30"/>
          <w:highlight w:val="none"/>
          <w:lang w:val="en-US" w:eastAsia="zh-CN"/>
        </w:rPr>
        <w:t>人民币/万元</w:t>
      </w:r>
    </w:p>
    <w:tbl>
      <w:tblPr>
        <w:tblStyle w:val="14"/>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608"/>
        <w:gridCol w:w="1836"/>
        <w:gridCol w:w="207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top w:val="single" w:color="auto" w:sz="4" w:space="0"/>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项  目</w:t>
            </w:r>
          </w:p>
        </w:tc>
        <w:tc>
          <w:tcPr>
            <w:tcW w:w="160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期初余额</w:t>
            </w:r>
          </w:p>
        </w:tc>
        <w:tc>
          <w:tcPr>
            <w:tcW w:w="1836"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lang w:val="en-US" w:eastAsia="zh-CN"/>
              </w:rPr>
            </w:pPr>
            <w:r>
              <w:rPr>
                <w:rFonts w:hint="default" w:ascii="仿宋_GB2312" w:hAnsi="仿宋_GB2312" w:eastAsia="仿宋_GB2312" w:cs="仿宋_GB2312"/>
                <w:b/>
                <w:bCs/>
                <w:color w:val="auto"/>
                <w:sz w:val="30"/>
                <w:szCs w:val="30"/>
                <w:highlight w:val="none"/>
                <w:lang w:val="en-US" w:eastAsia="zh-CN"/>
              </w:rPr>
              <w:t>本年增加数</w:t>
            </w:r>
          </w:p>
        </w:tc>
        <w:tc>
          <w:tcPr>
            <w:tcW w:w="2074"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lang w:val="en-US" w:eastAsia="zh-CN"/>
              </w:rPr>
            </w:pPr>
            <w:r>
              <w:rPr>
                <w:rFonts w:hint="default" w:ascii="仿宋_GB2312" w:hAnsi="仿宋_GB2312" w:eastAsia="仿宋_GB2312" w:cs="仿宋_GB2312"/>
                <w:b/>
                <w:bCs/>
                <w:color w:val="auto"/>
                <w:sz w:val="30"/>
                <w:szCs w:val="30"/>
                <w:highlight w:val="none"/>
                <w:lang w:val="en-US" w:eastAsia="zh-CN"/>
              </w:rPr>
              <w:t>　本年减少数</w:t>
            </w:r>
          </w:p>
        </w:tc>
        <w:tc>
          <w:tcPr>
            <w:tcW w:w="1724" w:type="dxa"/>
            <w:tcBorders>
              <w:top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一般风险准备</w:t>
            </w:r>
          </w:p>
        </w:tc>
        <w:tc>
          <w:tcPr>
            <w:tcW w:w="1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21,266.35</w:t>
            </w:r>
          </w:p>
        </w:tc>
        <w:tc>
          <w:tcPr>
            <w:tcW w:w="1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60.16</w:t>
            </w:r>
          </w:p>
        </w:tc>
        <w:tc>
          <w:tcPr>
            <w:tcW w:w="20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21,326.51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特种专项准备</w:t>
            </w:r>
          </w:p>
        </w:tc>
        <w:tc>
          <w:tcPr>
            <w:tcW w:w="1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5,880.16</w:t>
            </w:r>
          </w:p>
        </w:tc>
        <w:tc>
          <w:tcPr>
            <w:tcW w:w="1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168.01</w:t>
            </w:r>
          </w:p>
        </w:tc>
        <w:tc>
          <w:tcPr>
            <w:tcW w:w="20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6,048.17</w:t>
            </w:r>
          </w:p>
        </w:tc>
      </w:tr>
    </w:tbl>
    <w:p>
      <w:pPr>
        <w:rPr>
          <w:rFonts w:hint="eastAsia" w:ascii="仿宋_GB2312" w:hAnsi="仿宋_GB2312" w:eastAsia="仿宋_GB2312" w:cs="仿宋_GB2312"/>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（6）应收利息余额及变动情况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金额单位：</w:t>
      </w:r>
      <w:r>
        <w:rPr>
          <w:rFonts w:hint="eastAsia" w:ascii="仿宋_GB2312" w:hAnsi="仿宋_GB2312" w:eastAsia="仿宋_GB2312" w:cs="仿宋_GB2312"/>
          <w:color w:val="auto"/>
          <w:sz w:val="30"/>
          <w:szCs w:val="30"/>
          <w:highlight w:val="none"/>
          <w:lang w:val="en-US" w:eastAsia="zh-CN"/>
        </w:rPr>
        <w:t>人民币/万元</w:t>
      </w:r>
    </w:p>
    <w:tbl>
      <w:tblPr>
        <w:tblStyle w:val="14"/>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608"/>
        <w:gridCol w:w="1836"/>
        <w:gridCol w:w="207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top w:val="single" w:color="auto" w:sz="4" w:space="0"/>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rPr>
            </w:pPr>
            <w:r>
              <w:rPr>
                <w:rFonts w:hint="default" w:ascii="仿宋_GB2312" w:hAnsi="仿宋_GB2312" w:eastAsia="仿宋_GB2312" w:cs="仿宋_GB2312"/>
                <w:sz w:val="30"/>
                <w:szCs w:val="30"/>
                <w:highlight w:val="none"/>
              </w:rPr>
              <w:t>项  目</w:t>
            </w:r>
          </w:p>
        </w:tc>
        <w:tc>
          <w:tcPr>
            <w:tcW w:w="160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rPr>
            </w:pPr>
            <w:r>
              <w:rPr>
                <w:rFonts w:hint="default" w:ascii="仿宋_GB2312" w:hAnsi="仿宋_GB2312" w:eastAsia="仿宋_GB2312" w:cs="仿宋_GB2312"/>
                <w:sz w:val="30"/>
                <w:szCs w:val="30"/>
                <w:highlight w:val="none"/>
              </w:rPr>
              <w:t>期初余额</w:t>
            </w:r>
          </w:p>
        </w:tc>
        <w:tc>
          <w:tcPr>
            <w:tcW w:w="1836"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本年增加数</w:t>
            </w:r>
          </w:p>
        </w:tc>
        <w:tc>
          <w:tcPr>
            <w:tcW w:w="2074"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　本年减少数</w:t>
            </w:r>
          </w:p>
        </w:tc>
        <w:tc>
          <w:tcPr>
            <w:tcW w:w="1724" w:type="dxa"/>
            <w:tcBorders>
              <w:top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rPr>
            </w:pPr>
            <w:r>
              <w:rPr>
                <w:rFonts w:hint="default" w:ascii="仿宋_GB2312" w:hAnsi="仿宋_GB2312" w:eastAsia="仿宋_GB2312" w:cs="仿宋_GB2312"/>
                <w:sz w:val="30"/>
                <w:szCs w:val="30"/>
                <w:highlight w:val="none"/>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应收利息</w:t>
            </w:r>
          </w:p>
        </w:tc>
        <w:tc>
          <w:tcPr>
            <w:tcW w:w="1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206.88</w:t>
            </w:r>
          </w:p>
        </w:tc>
        <w:tc>
          <w:tcPr>
            <w:tcW w:w="1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42,372.27</w:t>
            </w:r>
          </w:p>
        </w:tc>
        <w:tc>
          <w:tcPr>
            <w:tcW w:w="20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42,374.69</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204.46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（7）应付利息计提方法、余额及变动情况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金额单位：</w:t>
      </w:r>
      <w:r>
        <w:rPr>
          <w:rFonts w:hint="eastAsia" w:ascii="仿宋_GB2312" w:hAnsi="仿宋_GB2312" w:eastAsia="仿宋_GB2312" w:cs="仿宋_GB2312"/>
          <w:sz w:val="30"/>
          <w:szCs w:val="30"/>
          <w:highlight w:val="none"/>
          <w:lang w:val="en-US" w:eastAsia="zh-CN"/>
        </w:rPr>
        <w:t>人民币</w:t>
      </w:r>
      <w:r>
        <w:rPr>
          <w:rFonts w:hint="eastAsia" w:ascii="仿宋_GB2312" w:hAnsi="仿宋_GB2312" w:eastAsia="仿宋_GB2312" w:cs="仿宋_GB2312"/>
          <w:color w:val="auto"/>
          <w:sz w:val="30"/>
          <w:szCs w:val="30"/>
          <w:highlight w:val="none"/>
          <w:lang w:val="en-US" w:eastAsia="zh-CN"/>
        </w:rPr>
        <w:t>/万元</w:t>
      </w:r>
    </w:p>
    <w:tbl>
      <w:tblPr>
        <w:tblStyle w:val="14"/>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608"/>
        <w:gridCol w:w="1836"/>
        <w:gridCol w:w="207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top w:val="single" w:color="auto" w:sz="4" w:space="0"/>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rPr>
            </w:pPr>
            <w:r>
              <w:rPr>
                <w:rFonts w:hint="default" w:ascii="仿宋_GB2312" w:hAnsi="仿宋_GB2312" w:eastAsia="仿宋_GB2312" w:cs="仿宋_GB2312"/>
                <w:sz w:val="30"/>
                <w:szCs w:val="30"/>
                <w:highlight w:val="none"/>
              </w:rPr>
              <w:t>项  目</w:t>
            </w:r>
          </w:p>
        </w:tc>
        <w:tc>
          <w:tcPr>
            <w:tcW w:w="160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rPr>
            </w:pPr>
            <w:r>
              <w:rPr>
                <w:rFonts w:hint="default" w:ascii="仿宋_GB2312" w:hAnsi="仿宋_GB2312" w:eastAsia="仿宋_GB2312" w:cs="仿宋_GB2312"/>
                <w:sz w:val="30"/>
                <w:szCs w:val="30"/>
                <w:highlight w:val="none"/>
              </w:rPr>
              <w:t>期初余额</w:t>
            </w:r>
          </w:p>
        </w:tc>
        <w:tc>
          <w:tcPr>
            <w:tcW w:w="1836"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本年增加数</w:t>
            </w:r>
          </w:p>
        </w:tc>
        <w:tc>
          <w:tcPr>
            <w:tcW w:w="2074"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　本年减少数</w:t>
            </w:r>
          </w:p>
        </w:tc>
        <w:tc>
          <w:tcPr>
            <w:tcW w:w="1724" w:type="dxa"/>
            <w:tcBorders>
              <w:top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rPr>
            </w:pPr>
            <w:r>
              <w:rPr>
                <w:rFonts w:hint="default" w:ascii="仿宋_GB2312" w:hAnsi="仿宋_GB2312" w:eastAsia="仿宋_GB2312" w:cs="仿宋_GB2312"/>
                <w:sz w:val="30"/>
                <w:szCs w:val="30"/>
                <w:highlight w:val="none"/>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应付利息</w:t>
            </w:r>
          </w:p>
        </w:tc>
        <w:tc>
          <w:tcPr>
            <w:tcW w:w="1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2,882.36</w:t>
            </w:r>
          </w:p>
        </w:tc>
        <w:tc>
          <w:tcPr>
            <w:tcW w:w="1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7,471.82</w:t>
            </w:r>
          </w:p>
        </w:tc>
        <w:tc>
          <w:tcPr>
            <w:tcW w:w="20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7,238.41</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sz w:val="30"/>
                <w:szCs w:val="30"/>
                <w:highlight w:val="none"/>
                <w:lang w:val="en-US" w:eastAsia="zh-CN"/>
              </w:rPr>
            </w:pPr>
            <w:r>
              <w:rPr>
                <w:rFonts w:hint="default" w:ascii="仿宋_GB2312" w:hAnsi="仿宋_GB2312" w:eastAsia="仿宋_GB2312" w:cs="仿宋_GB2312"/>
                <w:sz w:val="30"/>
                <w:szCs w:val="30"/>
                <w:highlight w:val="none"/>
                <w:lang w:val="en-US" w:eastAsia="zh-CN"/>
              </w:rPr>
              <w:t>3,115.77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（8）对外投资情况</w:t>
      </w:r>
    </w:p>
    <w:p>
      <w:pPr>
        <w:pStyle w:val="2"/>
        <w:jc w:val="right"/>
        <w:rPr>
          <w:rFonts w:hint="eastAsia"/>
          <w:highlight w:val="none"/>
          <w:lang w:val="en-US"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4"/>
        <w:tblW w:w="9042" w:type="dxa"/>
        <w:jc w:val="center"/>
        <w:tblInd w:w="0" w:type="dxa"/>
        <w:tblLayout w:type="fixed"/>
        <w:tblCellMar>
          <w:top w:w="0" w:type="dxa"/>
          <w:left w:w="108" w:type="dxa"/>
          <w:bottom w:w="0" w:type="dxa"/>
          <w:right w:w="108" w:type="dxa"/>
        </w:tblCellMar>
      </w:tblPr>
      <w:tblGrid>
        <w:gridCol w:w="3144"/>
        <w:gridCol w:w="2949"/>
        <w:gridCol w:w="2949"/>
      </w:tblGrid>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项目</w:t>
            </w:r>
          </w:p>
        </w:tc>
        <w:tc>
          <w:tcPr>
            <w:tcW w:w="29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期</w:t>
            </w:r>
            <w:r>
              <w:rPr>
                <w:rFonts w:hint="eastAsia" w:ascii="仿宋_GB2312" w:hAnsi="仿宋_GB2312" w:eastAsia="仿宋_GB2312" w:cs="仿宋_GB2312"/>
                <w:b/>
                <w:bCs/>
                <w:color w:val="auto"/>
                <w:kern w:val="0"/>
                <w:sz w:val="30"/>
                <w:szCs w:val="30"/>
                <w:highlight w:val="none"/>
                <w:lang w:eastAsia="zh-CN"/>
              </w:rPr>
              <w:t>初</w:t>
            </w:r>
            <w:r>
              <w:rPr>
                <w:rFonts w:hint="eastAsia" w:ascii="仿宋_GB2312" w:hAnsi="仿宋_GB2312" w:eastAsia="仿宋_GB2312" w:cs="仿宋_GB2312"/>
                <w:b/>
                <w:bCs/>
                <w:color w:val="auto"/>
                <w:kern w:val="0"/>
                <w:sz w:val="30"/>
                <w:szCs w:val="30"/>
                <w:highlight w:val="none"/>
              </w:rPr>
              <w:t>余额</w:t>
            </w:r>
          </w:p>
        </w:tc>
        <w:tc>
          <w:tcPr>
            <w:tcW w:w="29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auto"/>
                <w:sz w:val="30"/>
                <w:szCs w:val="30"/>
                <w:highlight w:val="none"/>
              </w:rPr>
            </w:pPr>
            <w:r>
              <w:rPr>
                <w:rFonts w:hint="eastAsia" w:ascii="仿宋_GB2312" w:hAnsi="仿宋_GB2312" w:eastAsia="仿宋_GB2312" w:cs="仿宋_GB2312"/>
                <w:b/>
                <w:bCs/>
                <w:color w:val="auto"/>
                <w:kern w:val="0"/>
                <w:sz w:val="30"/>
                <w:szCs w:val="30"/>
                <w:highlight w:val="none"/>
              </w:rPr>
              <w:t>期末余额</w:t>
            </w:r>
          </w:p>
        </w:tc>
      </w:tr>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债权投资</w:t>
            </w:r>
          </w:p>
        </w:tc>
        <w:tc>
          <w:tcPr>
            <w:tcW w:w="2949" w:type="dxa"/>
            <w:tcBorders>
              <w:top w:val="single" w:color="auto" w:sz="4" w:space="0"/>
              <w:left w:val="nil"/>
              <w:bottom w:val="single" w:color="auto" w:sz="4" w:space="0"/>
              <w:right w:val="single" w:color="auto" w:sz="4" w:space="0"/>
            </w:tcBorders>
            <w:vAlign w:val="bottom"/>
          </w:tcPr>
          <w:p>
            <w:pPr>
              <w:widowControl/>
              <w:spacing w:line="560" w:lineRule="exact"/>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198060.43</w:t>
            </w:r>
          </w:p>
        </w:tc>
        <w:tc>
          <w:tcPr>
            <w:tcW w:w="2949"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rPr>
              <w:t>198060.43</w:t>
            </w:r>
          </w:p>
        </w:tc>
      </w:tr>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其他债权投资</w:t>
            </w:r>
          </w:p>
        </w:tc>
        <w:tc>
          <w:tcPr>
            <w:tcW w:w="2949" w:type="dxa"/>
            <w:tcBorders>
              <w:top w:val="single" w:color="auto" w:sz="4" w:space="0"/>
              <w:left w:val="nil"/>
              <w:bottom w:val="single" w:color="auto" w:sz="4" w:space="0"/>
              <w:right w:val="single" w:color="auto" w:sz="4" w:space="0"/>
            </w:tcBorders>
            <w:vAlign w:val="bottom"/>
          </w:tcPr>
          <w:p>
            <w:pPr>
              <w:widowControl/>
              <w:spacing w:line="560" w:lineRule="exact"/>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15113</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rPr>
              <w:t>15</w:t>
            </w:r>
          </w:p>
        </w:tc>
        <w:tc>
          <w:tcPr>
            <w:tcW w:w="2949"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auto"/>
                <w:sz w:val="30"/>
                <w:szCs w:val="30"/>
                <w:highlight w:val="none"/>
              </w:rPr>
            </w:pPr>
            <w:r>
              <w:rPr>
                <w:rFonts w:hint="eastAsia"/>
                <w:color w:val="auto"/>
                <w:sz w:val="30"/>
                <w:szCs w:val="30"/>
                <w:highlight w:val="none"/>
                <w:lang w:val="en-US" w:eastAsia="zh-CN"/>
              </w:rPr>
              <w:t>0</w:t>
            </w:r>
          </w:p>
        </w:tc>
      </w:tr>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长期股权投资</w:t>
            </w:r>
          </w:p>
        </w:tc>
        <w:tc>
          <w:tcPr>
            <w:tcW w:w="294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15062.61</w:t>
            </w:r>
          </w:p>
        </w:tc>
        <w:tc>
          <w:tcPr>
            <w:tcW w:w="29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auto"/>
                <w:sz w:val="30"/>
                <w:szCs w:val="30"/>
                <w:highlight w:val="none"/>
              </w:rPr>
            </w:pPr>
            <w:r>
              <w:rPr>
                <w:rFonts w:hint="eastAsia"/>
                <w:color w:val="auto"/>
                <w:sz w:val="30"/>
                <w:szCs w:val="30"/>
                <w:highlight w:val="none"/>
                <w:lang w:val="en-US" w:eastAsia="zh-CN"/>
              </w:rPr>
              <w:t>15062.61</w:t>
            </w:r>
          </w:p>
        </w:tc>
      </w:tr>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合计</w:t>
            </w:r>
          </w:p>
        </w:tc>
        <w:tc>
          <w:tcPr>
            <w:tcW w:w="294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228236.19</w:t>
            </w:r>
          </w:p>
        </w:tc>
        <w:tc>
          <w:tcPr>
            <w:tcW w:w="29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auto"/>
                <w:sz w:val="30"/>
                <w:szCs w:val="30"/>
                <w:highlight w:val="none"/>
              </w:rPr>
            </w:pPr>
            <w:r>
              <w:rPr>
                <w:rFonts w:hint="eastAsia"/>
                <w:color w:val="auto"/>
                <w:sz w:val="30"/>
                <w:szCs w:val="30"/>
                <w:highlight w:val="none"/>
              </w:rPr>
              <w:t>213123.04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（9）同业拆入款项</w:t>
      </w:r>
      <w:r>
        <w:rPr>
          <w:rFonts w:hint="eastAsia" w:ascii="仿宋_GB2312" w:hAnsi="仿宋_GB2312" w:eastAsia="仿宋_GB2312" w:cs="仿宋_GB2312"/>
          <w:color w:val="auto"/>
          <w:sz w:val="32"/>
          <w:szCs w:val="32"/>
          <w:highlight w:val="none"/>
          <w:lang w:val="en-US" w:eastAsia="zh-CN"/>
        </w:rPr>
        <w:t>（按境内、境外同业披露年初数和期末数，金额单位：人民币/万元，自己设计表格）</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境内同业拆入款项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境外同业拆入款项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合计</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（10）表外业务</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暂未办理银行承兑汇票、对外担保等表外业务。</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7.资本充足状况</w:t>
      </w:r>
    </w:p>
    <w:p>
      <w:pPr>
        <w:pStyle w:val="2"/>
        <w:jc w:val="righ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单位：万元、%</w:t>
      </w:r>
    </w:p>
    <w:tbl>
      <w:tblPr>
        <w:tblStyle w:val="14"/>
        <w:tblW w:w="881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252"/>
        <w:gridCol w:w="4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b/>
                <w:bCs/>
                <w:color w:val="auto"/>
                <w:kern w:val="0"/>
                <w:sz w:val="30"/>
                <w:szCs w:val="30"/>
                <w:highlight w:val="none"/>
                <w:lang w:val="en-US" w:eastAsia="zh-CN" w:bidi="ar-SA"/>
              </w:rPr>
            </w:pPr>
            <w:r>
              <w:rPr>
                <w:rFonts w:hint="default" w:ascii="仿宋_GB2312" w:hAnsi="仿宋_GB2312" w:eastAsia="仿宋_GB2312" w:cs="仿宋_GB2312"/>
                <w:b/>
                <w:bCs/>
                <w:color w:val="auto"/>
                <w:kern w:val="0"/>
                <w:sz w:val="30"/>
                <w:szCs w:val="30"/>
                <w:highlight w:val="none"/>
                <w:lang w:val="en-US" w:eastAsia="zh-CN" w:bidi="ar-SA"/>
              </w:rPr>
              <w:t>项目</w:t>
            </w:r>
          </w:p>
        </w:tc>
        <w:tc>
          <w:tcPr>
            <w:tcW w:w="4560" w:type="dxa"/>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仿宋_GB2312" w:eastAsia="仿宋_GB2312" w:cs="仿宋_GB2312"/>
                <w:b/>
                <w:bCs/>
                <w:color w:val="auto"/>
                <w:kern w:val="0"/>
                <w:sz w:val="30"/>
                <w:szCs w:val="30"/>
                <w:highlight w:val="none"/>
                <w:lang w:val="en-US" w:eastAsia="zh-CN" w:bidi="ar-SA"/>
              </w:rPr>
              <w:t>2024年末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风险加权资产总额</w:t>
            </w:r>
          </w:p>
        </w:tc>
        <w:tc>
          <w:tcPr>
            <w:tcW w:w="4560" w:type="dxa"/>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596079.9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资本净额</w:t>
            </w:r>
          </w:p>
        </w:tc>
        <w:tc>
          <w:tcPr>
            <w:tcW w:w="456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142628.98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其中：核心一级资本净额</w:t>
            </w:r>
          </w:p>
        </w:tc>
        <w:tc>
          <w:tcPr>
            <w:tcW w:w="4560" w:type="dxa"/>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jc w:val="center"/>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84357.14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nil"/>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其它</w:t>
            </w:r>
            <w:r>
              <w:rPr>
                <w:rFonts w:hint="default" w:ascii="仿宋_GB2312" w:hAnsi="仿宋_GB2312" w:eastAsia="仿宋_GB2312" w:cs="仿宋_GB2312"/>
                <w:color w:val="auto"/>
                <w:kern w:val="0"/>
                <w:sz w:val="30"/>
                <w:szCs w:val="30"/>
                <w:highlight w:val="none"/>
                <w:lang w:val="en-US" w:eastAsia="zh-CN" w:bidi="ar-SA"/>
              </w:rPr>
              <w:t>资本</w:t>
            </w:r>
          </w:p>
        </w:tc>
        <w:tc>
          <w:tcPr>
            <w:tcW w:w="4560" w:type="dxa"/>
            <w:tcBorders>
              <w:top w:val="nil"/>
              <w:left w:val="nil"/>
              <w:bottom w:val="single" w:color="auto" w:sz="4" w:space="0"/>
              <w:right w:val="single" w:color="auto" w:sz="4" w:space="0"/>
            </w:tcBorders>
            <w:vAlign w:val="center"/>
          </w:tcPr>
          <w:p>
            <w:pPr>
              <w:pStyle w:val="11"/>
              <w:keepNext w:val="0"/>
              <w:keepLines w:val="0"/>
              <w:widowControl/>
              <w:suppressLineNumbers w:val="0"/>
              <w:jc w:val="center"/>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58271.84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资本充足率</w:t>
            </w:r>
          </w:p>
        </w:tc>
        <w:tc>
          <w:tcPr>
            <w:tcW w:w="456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23.93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核心资本充足率</w:t>
            </w:r>
          </w:p>
        </w:tc>
        <w:tc>
          <w:tcPr>
            <w:tcW w:w="4560" w:type="dxa"/>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14.15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FF0000"/>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8.审计意见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highlight w:val="none"/>
          <w:lang w:eastAsia="zh-CN"/>
        </w:rPr>
      </w:pPr>
      <w:r>
        <w:rPr>
          <w:rFonts w:hint="eastAsia" w:ascii="仿宋_GB2312" w:hAnsi="Times New Roman" w:eastAsia="仿宋_GB2312" w:cs="Times New Roman"/>
          <w:spacing w:val="-6"/>
          <w:sz w:val="32"/>
          <w:szCs w:val="32"/>
          <w:highlight w:val="none"/>
          <w:lang w:val="en-US" w:eastAsia="zh-CN"/>
        </w:rPr>
        <w:t>本行202</w:t>
      </w:r>
      <w:r>
        <w:rPr>
          <w:rFonts w:hint="eastAsia" w:ascii="仿宋_GB2312" w:eastAsia="仿宋_GB2312" w:cs="Times New Roman"/>
          <w:spacing w:val="-6"/>
          <w:sz w:val="32"/>
          <w:szCs w:val="32"/>
          <w:highlight w:val="none"/>
          <w:lang w:val="en-US" w:eastAsia="zh-CN"/>
        </w:rPr>
        <w:t>4</w:t>
      </w:r>
      <w:r>
        <w:rPr>
          <w:rFonts w:hint="eastAsia" w:ascii="仿宋_GB2312" w:hAnsi="Times New Roman" w:eastAsia="仿宋_GB2312" w:cs="Times New Roman"/>
          <w:spacing w:val="-6"/>
          <w:sz w:val="32"/>
          <w:szCs w:val="32"/>
          <w:highlight w:val="none"/>
          <w:lang w:val="en-US" w:eastAsia="zh-CN"/>
        </w:rPr>
        <w:t>年度财务会计报告经赣州建诚天安联合会计师事务所</w:t>
      </w:r>
      <w:r>
        <w:rPr>
          <w:rFonts w:hint="eastAsia" w:ascii="仿宋_GB2312" w:hAnsi="Times New Roman" w:eastAsia="仿宋_GB2312" w:cs="Times New Roman"/>
          <w:spacing w:val="-6"/>
          <w:sz w:val="32"/>
          <w:szCs w:val="32"/>
          <w:highlight w:val="none"/>
          <w:lang w:val="zh-CN" w:eastAsia="zh-CN"/>
        </w:rPr>
        <w:t>（普通合伙）</w:t>
      </w:r>
      <w:r>
        <w:rPr>
          <w:rFonts w:hint="eastAsia" w:ascii="仿宋_GB2312" w:hAnsi="Times New Roman" w:eastAsia="仿宋_GB2312" w:cs="Times New Roman"/>
          <w:spacing w:val="-6"/>
          <w:sz w:val="32"/>
          <w:szCs w:val="32"/>
          <w:highlight w:val="none"/>
          <w:lang w:val="en-US" w:eastAsia="zh-CN"/>
        </w:rPr>
        <w:t>按国内审计准则审计，注册会计师叶花、郑传新出具了标准无保留意见的审计报告（赣建诚会师审字[202</w:t>
      </w:r>
      <w:r>
        <w:rPr>
          <w:rFonts w:hint="eastAsia" w:ascii="仿宋_GB2312" w:eastAsia="仿宋_GB2312" w:cs="Times New Roman"/>
          <w:spacing w:val="-6"/>
          <w:sz w:val="32"/>
          <w:szCs w:val="32"/>
          <w:highlight w:val="none"/>
          <w:lang w:val="en-US" w:eastAsia="zh-CN"/>
        </w:rPr>
        <w:t>5</w:t>
      </w:r>
      <w:r>
        <w:rPr>
          <w:rFonts w:hint="eastAsia" w:ascii="仿宋_GB2312" w:hAnsi="Times New Roman" w:eastAsia="仿宋_GB2312" w:cs="Times New Roman"/>
          <w:spacing w:val="-6"/>
          <w:sz w:val="32"/>
          <w:szCs w:val="32"/>
          <w:highlight w:val="none"/>
          <w:lang w:val="en-US" w:eastAsia="zh-CN"/>
        </w:rPr>
        <w:t>]第00</w:t>
      </w:r>
      <w:r>
        <w:rPr>
          <w:rFonts w:hint="eastAsia" w:ascii="仿宋_GB2312" w:eastAsia="仿宋_GB2312" w:cs="Times New Roman"/>
          <w:spacing w:val="-6"/>
          <w:sz w:val="32"/>
          <w:szCs w:val="32"/>
          <w:highlight w:val="none"/>
          <w:lang w:val="en-US" w:eastAsia="zh-CN"/>
        </w:rPr>
        <w:t>5</w:t>
      </w:r>
      <w:r>
        <w:rPr>
          <w:rFonts w:hint="eastAsia" w:ascii="仿宋_GB2312" w:hAnsi="Times New Roman" w:eastAsia="仿宋_GB2312" w:cs="Times New Roman"/>
          <w:spacing w:val="-6"/>
          <w:sz w:val="32"/>
          <w:szCs w:val="32"/>
          <w:highlight w:val="none"/>
          <w:lang w:val="en-US" w:eastAsia="zh-CN"/>
        </w:rPr>
        <w:t>号）</w:t>
      </w:r>
      <w:r>
        <w:rPr>
          <w:rFonts w:hint="eastAsia" w:ascii="仿宋_GB2312" w:eastAsia="仿宋_GB2312" w:cs="Times New Roman"/>
          <w:spacing w:val="-6"/>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FF0000"/>
          <w:kern w:val="2"/>
          <w:sz w:val="32"/>
          <w:szCs w:val="32"/>
          <w:highlight w:val="none"/>
          <w:lang w:val="en-US" w:eastAsia="zh-CN" w:bidi="ar-SA"/>
        </w:rPr>
      </w:pPr>
      <w:r>
        <w:rPr>
          <w:rFonts w:hint="eastAsia" w:ascii="楷体" w:hAnsi="楷体" w:eastAsia="楷体" w:cs="楷体"/>
          <w:b/>
          <w:bCs/>
          <w:color w:val="auto"/>
          <w:sz w:val="32"/>
          <w:szCs w:val="32"/>
          <w:highlight w:val="none"/>
          <w:lang w:eastAsia="zh-CN"/>
        </w:rPr>
        <w:t>（三）财务情况说明书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1.主要业务数据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2024年，本行坚持以习近平新时代中国特色社会主义思想为指导，全面贯彻党的二十大精神，大力践行党建领行、质量立行、合规守行、特色办行、科技兴行、人才强行、服务暖行、从严治行“八行战略”。在省</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lang w:eastAsia="zh-CN"/>
        </w:rPr>
        <w:t>党委、辖区党组的坚强领导下，人行和</w:t>
      </w:r>
      <w:r>
        <w:rPr>
          <w:rFonts w:hint="eastAsia" w:ascii="仿宋_GB2312" w:hAnsi="仿宋_GB2312" w:eastAsia="仿宋_GB2312" w:cs="仿宋_GB2312"/>
          <w:color w:val="auto"/>
          <w:sz w:val="32"/>
          <w:szCs w:val="32"/>
          <w:highlight w:val="none"/>
          <w:lang w:val="en-US" w:eastAsia="zh-CN"/>
        </w:rPr>
        <w:t>监管部门</w:t>
      </w:r>
      <w:r>
        <w:rPr>
          <w:rFonts w:hint="eastAsia" w:ascii="仿宋_GB2312" w:hAnsi="仿宋_GB2312" w:eastAsia="仿宋_GB2312" w:cs="仿宋_GB2312"/>
          <w:color w:val="auto"/>
          <w:sz w:val="32"/>
          <w:szCs w:val="32"/>
          <w:highlight w:val="none"/>
          <w:lang w:eastAsia="zh-CN"/>
        </w:rPr>
        <w:t>的悉心指导下，县委县政府的关心支持下，在全体股东和社会各界人士的鼎力支持下，坚持稳中求进的工作总基调，落实“固本强基、提质增效”的工作总要求，坚守支农支小市场定位，抢抓市场先机，积极主动作为，各项任务落实有力有序，扛稳了地方金融主力军的大旗，践行了服务地方经济主办行的担当，展现了新时代农商银行人朝气昂扬的精神面貌，交出了较好的“年度答卷”。至2024年末，各项资产总计979540.45 万元，负债总计880868.56万元，所有者权益98671.89万元，2024年实现各项收入47023.36万元。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2.利润实现情况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本行2024年实现利润总额</w:t>
      </w:r>
      <w:r>
        <w:rPr>
          <w:rFonts w:hint="default" w:ascii="仿宋_GB2312" w:hAnsi="仿宋_GB2312" w:eastAsia="仿宋_GB2312" w:cs="仿宋_GB2312"/>
          <w:color w:val="auto"/>
          <w:sz w:val="32"/>
          <w:szCs w:val="32"/>
          <w:highlight w:val="none"/>
          <w:lang w:val="en-US" w:eastAsia="zh-CN"/>
        </w:rPr>
        <w:t>13306.78</w:t>
      </w:r>
      <w:r>
        <w:rPr>
          <w:rFonts w:hint="eastAsia" w:ascii="仿宋_GB2312" w:hAnsi="仿宋_GB2312" w:eastAsia="仿宋_GB2312" w:cs="仿宋_GB2312"/>
          <w:color w:val="auto"/>
          <w:sz w:val="32"/>
          <w:szCs w:val="32"/>
          <w:highlight w:val="none"/>
          <w:lang w:val="en-US" w:eastAsia="zh-CN"/>
        </w:rPr>
        <w:t>万元，同比上升1985.80万元；当期所得税2205.21万元；实现净利润11101.58万元，同比增加1497.69万元。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3.利润分配情况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2024年实现净利润11101.58万元，提取法定盈余公积金及特种专项准备1278.17万元。2024年度股金分红比例为9%（含税），其中现金比例8%、配股比例1%，并将取得的全部分红按20%的比例在现金分红中扣除个人所得税。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4.不良贷款控制效果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本行始终贯彻“合规守行”“质量立行”战略，坚持“审慎经营”理念，真实反映贷款形态，加强不良贷款清收考核，加强与司法部门对接沟通。</w:t>
      </w:r>
      <w:r>
        <w:rPr>
          <w:rFonts w:hint="eastAsia" w:ascii="仿宋_GB2312" w:hAnsi="仿宋_GB2312" w:eastAsia="仿宋_GB2312" w:cs="仿宋_GB2312"/>
          <w:color w:val="auto"/>
          <w:sz w:val="32"/>
          <w:szCs w:val="32"/>
          <w:highlight w:val="none"/>
          <w:lang w:val="zh-CN"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eastAsia="zh-CN"/>
        </w:rPr>
        <w:t>年末，本行不良贷款余额为</w:t>
      </w:r>
      <w:r>
        <w:rPr>
          <w:rFonts w:hint="eastAsia" w:ascii="仿宋_GB2312" w:hAnsi="仿宋_GB2312" w:eastAsia="仿宋_GB2312" w:cs="仿宋_GB2312"/>
          <w:color w:val="auto"/>
          <w:sz w:val="32"/>
          <w:szCs w:val="32"/>
          <w:highlight w:val="none"/>
          <w:lang w:val="en-US" w:eastAsia="zh-CN"/>
        </w:rPr>
        <w:t>12912.88</w:t>
      </w:r>
      <w:r>
        <w:rPr>
          <w:rFonts w:hint="eastAsia" w:ascii="仿宋_GB2312" w:hAnsi="仿宋_GB2312" w:eastAsia="仿宋_GB2312" w:cs="仿宋_GB2312"/>
          <w:color w:val="auto"/>
          <w:sz w:val="32"/>
          <w:szCs w:val="32"/>
          <w:highlight w:val="none"/>
          <w:lang w:val="zh-CN" w:eastAsia="zh-CN"/>
        </w:rPr>
        <w:t>万元，不良贷款率</w:t>
      </w:r>
      <w:r>
        <w:rPr>
          <w:rFonts w:hint="eastAsia" w:ascii="仿宋_GB2312" w:hAnsi="仿宋_GB2312" w:eastAsia="仿宋_GB2312" w:cs="仿宋_GB2312"/>
          <w:color w:val="auto"/>
          <w:sz w:val="32"/>
          <w:szCs w:val="32"/>
          <w:highlight w:val="none"/>
          <w:lang w:val="en-US" w:eastAsia="zh-CN"/>
        </w:rPr>
        <w:t>1.72</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各类风险管理状况</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olor w:val="auto"/>
          <w:sz w:val="32"/>
          <w:szCs w:val="32"/>
          <w:highlight w:val="none"/>
        </w:rPr>
      </w:pPr>
      <w:r>
        <w:rPr>
          <w:rFonts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年，本行继续强化内控管理，完善内控制度，积极采取措施，增收节支，加大计提各项拨备，抗风险能力进一步增强。</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00B0F0"/>
          <w:sz w:val="32"/>
          <w:szCs w:val="32"/>
          <w:highlight w:val="none"/>
          <w:lang w:eastAsia="zh-CN"/>
        </w:rPr>
      </w:pPr>
      <w:r>
        <w:rPr>
          <w:rFonts w:hint="eastAsia" w:ascii="楷体_GB2312" w:eastAsia="楷体_GB2312"/>
          <w:b/>
          <w:color w:val="auto"/>
          <w:sz w:val="32"/>
          <w:szCs w:val="32"/>
          <w:highlight w:val="none"/>
          <w:lang w:val="en-US" w:eastAsia="zh-CN"/>
        </w:rPr>
        <w:t>1.</w:t>
      </w:r>
      <w:r>
        <w:rPr>
          <w:rFonts w:hint="eastAsia" w:ascii="楷体_GB2312" w:eastAsia="楷体_GB2312"/>
          <w:b/>
          <w:color w:val="auto"/>
          <w:sz w:val="32"/>
          <w:szCs w:val="32"/>
          <w:highlight w:val="none"/>
        </w:rPr>
        <w:t>董事会、高级管理层对风险的监控能力</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ascii="仿宋_GB2312" w:hAnsi="Times New Roman" w:eastAsia="仿宋_GB2312" w:cs="Times New Roman"/>
          <w:color w:val="auto"/>
          <w:sz w:val="32"/>
          <w:szCs w:val="32"/>
          <w:highlight w:val="none"/>
        </w:rPr>
        <w:t>依据《章程》规定，制定了董事会议事规则，董事会设立了风险管理</w:t>
      </w:r>
      <w:r>
        <w:rPr>
          <w:rFonts w:hint="eastAsia" w:ascii="仿宋_GB2312" w:eastAsia="仿宋_GB2312" w:cs="Times New Roman"/>
          <w:color w:val="auto"/>
          <w:sz w:val="32"/>
          <w:szCs w:val="32"/>
          <w:highlight w:val="none"/>
          <w:lang w:eastAsia="zh-CN"/>
        </w:rPr>
        <w:t>委员会、</w:t>
      </w:r>
      <w:r>
        <w:rPr>
          <w:rFonts w:ascii="仿宋_GB2312" w:hAnsi="Times New Roman" w:eastAsia="仿宋_GB2312" w:cs="Times New Roman"/>
          <w:color w:val="auto"/>
          <w:sz w:val="32"/>
          <w:szCs w:val="32"/>
          <w:highlight w:val="none"/>
        </w:rPr>
        <w:t>关联交易委员会、提名与薪酬委员会等专业管理监督机构，制定了各委员会议事规则。本行高管层专业知识丰富，高管人员中均有</w:t>
      </w:r>
      <w:r>
        <w:rPr>
          <w:rFonts w:hint="eastAsia" w:ascii="仿宋_GB2312" w:hAnsi="Times New Roman" w:eastAsia="仿宋_GB2312" w:cs="Times New Roman"/>
          <w:color w:val="auto"/>
          <w:sz w:val="32"/>
          <w:szCs w:val="32"/>
          <w:highlight w:val="none"/>
          <w:lang w:eastAsia="zh-CN"/>
        </w:rPr>
        <w:t>较长年限的</w:t>
      </w:r>
      <w:r>
        <w:rPr>
          <w:rFonts w:ascii="仿宋_GB2312" w:hAnsi="Times New Roman" w:eastAsia="仿宋_GB2312" w:cs="Times New Roman"/>
          <w:color w:val="auto"/>
          <w:sz w:val="32"/>
          <w:szCs w:val="32"/>
          <w:highlight w:val="none"/>
        </w:rPr>
        <w:t>从业经历；设立了</w:t>
      </w:r>
      <w:r>
        <w:rPr>
          <w:rFonts w:hint="eastAsia" w:ascii="仿宋_GB2312" w:eastAsia="仿宋_GB2312" w:cs="Times New Roman"/>
          <w:color w:val="auto"/>
          <w:sz w:val="32"/>
          <w:szCs w:val="32"/>
          <w:highlight w:val="none"/>
          <w:lang w:val="en-US" w:eastAsia="zh-CN"/>
        </w:rPr>
        <w:t>风险管理</w:t>
      </w:r>
      <w:r>
        <w:rPr>
          <w:rFonts w:ascii="仿宋_GB2312" w:hAnsi="Times New Roman" w:eastAsia="仿宋_GB2312" w:cs="Times New Roman"/>
          <w:color w:val="auto"/>
          <w:sz w:val="32"/>
          <w:szCs w:val="32"/>
          <w:highlight w:val="none"/>
        </w:rPr>
        <w:t>部，专门从事风险监测和管理。</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kern w:val="2"/>
          <w:sz w:val="32"/>
          <w:szCs w:val="32"/>
          <w:highlight w:val="none"/>
          <w:lang w:val="en-US" w:eastAsia="zh-CN" w:bidi="ar-SA"/>
        </w:rPr>
      </w:pPr>
      <w:r>
        <w:rPr>
          <w:rFonts w:hint="eastAsia" w:ascii="楷体_GB2312" w:eastAsia="楷体_GB2312"/>
          <w:b/>
          <w:color w:val="auto"/>
          <w:sz w:val="32"/>
          <w:szCs w:val="32"/>
          <w:highlight w:val="none"/>
          <w:lang w:val="en-US" w:eastAsia="zh-CN"/>
        </w:rPr>
        <w:t>2.</w:t>
      </w:r>
      <w:r>
        <w:rPr>
          <w:rFonts w:ascii="楷体_GB2312" w:eastAsia="楷体_GB2312"/>
          <w:b/>
          <w:color w:val="auto"/>
          <w:sz w:val="32"/>
          <w:szCs w:val="32"/>
          <w:highlight w:val="none"/>
        </w:rPr>
        <w:t>风险管理的政策和程序</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制定相关业务对应的风险管理政策和程序，包含：风险识别、风险监测、风险预警、风险报告、风险化解、风险计量、风险控制与管理、风险评估、压力测试等。</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建立了全面风险管理报告制度，明确了报告的内容、频率和路线。报告内容包括总体风险和各类风险的整体状况、风险管理状况等。</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按季开展了压力测试，压力测试的开展覆盖了各类风险和表内外主要业务领域，并考虑各类风险之间的相互影响，将压力测试结果运用于风险管理和各项经营管理决策中。</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制定了各类风险的应急处置预案，确保能够及时应对和处理紧急或危机情况。</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将风险管理策略、风险偏好、风险限额、风险管理政策和程序等要素与资本管理、业务管理相结合，在战略和经营计划制定、新产品审批、内部定价、绩效考评和薪酬激励等日常经营管理中充分应用并有效实施。</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风险计量、检测和管理信息系统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Times New Roman" w:eastAsia="仿宋_GB2312" w:cs="Times New Roman"/>
          <w:b/>
          <w:bCs/>
          <w:color w:val="auto"/>
          <w:sz w:val="32"/>
          <w:szCs w:val="32"/>
          <w:highlight w:val="none"/>
        </w:rPr>
        <w:t>一是</w:t>
      </w:r>
      <w:r>
        <w:rPr>
          <w:rFonts w:hint="eastAsia" w:ascii="仿宋_GB2312" w:hAnsi="Times New Roman" w:eastAsia="仿宋_GB2312" w:cs="Times New Roman"/>
          <w:color w:val="auto"/>
          <w:sz w:val="32"/>
          <w:szCs w:val="32"/>
          <w:highlight w:val="none"/>
        </w:rPr>
        <w:t>成立了专门的风险管理机构，风险管理基本能覆盖各主要风险，能够对信用风险、市场风险、利率风险、流动性风险、操作风险、法律风险及</w:t>
      </w:r>
      <w:r>
        <w:rPr>
          <w:rFonts w:hint="default" w:ascii="仿宋_GB2312" w:eastAsia="仿宋_GB2312" w:cs="Times New Roman"/>
          <w:color w:val="auto"/>
          <w:sz w:val="32"/>
          <w:szCs w:val="32"/>
          <w:highlight w:val="none"/>
        </w:rPr>
        <w:t>声</w:t>
      </w:r>
      <w:r>
        <w:rPr>
          <w:rFonts w:hint="eastAsia" w:ascii="仿宋_GB2312" w:hAnsi="Times New Roman" w:eastAsia="仿宋_GB2312" w:cs="Times New Roman"/>
          <w:color w:val="auto"/>
          <w:sz w:val="32"/>
          <w:szCs w:val="32"/>
          <w:highlight w:val="none"/>
        </w:rPr>
        <w:t>誉风险等各类风险进行持续的监控；</w:t>
      </w:r>
      <w:r>
        <w:rPr>
          <w:rFonts w:hint="eastAsia" w:ascii="仿宋_GB2312" w:hAnsi="Times New Roman" w:eastAsia="仿宋_GB2312" w:cs="Times New Roman"/>
          <w:b/>
          <w:bCs/>
          <w:color w:val="auto"/>
          <w:sz w:val="32"/>
          <w:szCs w:val="32"/>
          <w:highlight w:val="none"/>
        </w:rPr>
        <w:t>二是</w:t>
      </w:r>
      <w:r>
        <w:rPr>
          <w:rFonts w:hint="eastAsia" w:ascii="仿宋_GB2312" w:hAnsi="Times New Roman" w:eastAsia="仿宋_GB2312" w:cs="Times New Roman"/>
          <w:color w:val="auto"/>
          <w:sz w:val="32"/>
          <w:szCs w:val="32"/>
          <w:highlight w:val="none"/>
        </w:rPr>
        <w:t>制定了识别、计量、监测和管理风险的制度、程序和方法，建立了信贷资信查询系统，采取了贷款五级分类管理、信用评级等管理机制；</w:t>
      </w:r>
      <w:r>
        <w:rPr>
          <w:rFonts w:hint="eastAsia" w:ascii="仿宋_GB2312" w:hAnsi="Times New Roman" w:eastAsia="仿宋_GB2312" w:cs="Times New Roman"/>
          <w:b/>
          <w:bCs/>
          <w:color w:val="auto"/>
          <w:sz w:val="32"/>
          <w:szCs w:val="32"/>
          <w:highlight w:val="none"/>
        </w:rPr>
        <w:t>三是</w:t>
      </w:r>
      <w:r>
        <w:rPr>
          <w:rFonts w:hint="eastAsia" w:ascii="仿宋_GB2312" w:hAnsi="Times New Roman" w:eastAsia="仿宋_GB2312" w:cs="Times New Roman"/>
          <w:color w:val="auto"/>
          <w:sz w:val="32"/>
          <w:szCs w:val="32"/>
          <w:highlight w:val="none"/>
        </w:rPr>
        <w:t>针对不断变化的环境和情况及时修订和完善风险控制的制度、方法和手段，以控制新出现的风险或以前未能控制的风险。有较完善的产品定价机制，能做到成本可算、风险可控。</w:t>
      </w:r>
      <w:r>
        <w:rPr>
          <w:rFonts w:hint="eastAsia" w:ascii="仿宋_GB2312" w:eastAsia="仿宋_GB2312" w:cs="Times New Roman"/>
          <w:b/>
          <w:bCs/>
          <w:color w:val="auto"/>
          <w:sz w:val="32"/>
          <w:szCs w:val="32"/>
          <w:highlight w:val="none"/>
          <w:lang w:eastAsia="zh-CN"/>
        </w:rPr>
        <w:t>四是</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省行</w:t>
      </w:r>
      <w:r>
        <w:rPr>
          <w:rFonts w:hint="eastAsia" w:ascii="仿宋_GB2312" w:hAnsi="仿宋_GB2312" w:eastAsia="仿宋_GB2312" w:cs="仿宋_GB2312"/>
          <w:sz w:val="32"/>
          <w:szCs w:val="32"/>
          <w:highlight w:val="none"/>
        </w:rPr>
        <w:t>整体信息科技建设要求，</w:t>
      </w:r>
      <w:r>
        <w:rPr>
          <w:rFonts w:hint="eastAsia" w:ascii="仿宋_GB2312" w:hAnsi="仿宋_GB2312" w:eastAsia="仿宋_GB2312" w:cs="仿宋_GB2312"/>
          <w:sz w:val="32"/>
          <w:szCs w:val="32"/>
          <w:highlight w:val="none"/>
          <w:lang w:eastAsia="zh-CN"/>
        </w:rPr>
        <w:t>建立了</w:t>
      </w:r>
      <w:r>
        <w:rPr>
          <w:rFonts w:hint="eastAsia" w:ascii="仿宋_GB2312" w:hAnsi="仿宋_GB2312" w:eastAsia="仿宋_GB2312" w:cs="仿宋_GB2312"/>
          <w:sz w:val="32"/>
          <w:szCs w:val="32"/>
          <w:highlight w:val="none"/>
        </w:rPr>
        <w:t>基本具备风险管理信息</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系统，</w:t>
      </w:r>
      <w:r>
        <w:rPr>
          <w:rFonts w:hint="eastAsia" w:ascii="仿宋_GB2312" w:hAnsi="仿宋_GB2312" w:eastAsia="仿宋_GB2312" w:cs="仿宋_GB2312"/>
          <w:sz w:val="32"/>
          <w:szCs w:val="32"/>
          <w:highlight w:val="none"/>
          <w:lang w:eastAsia="zh-CN"/>
        </w:rPr>
        <w:t>基本</w:t>
      </w:r>
      <w:r>
        <w:rPr>
          <w:rFonts w:hint="eastAsia" w:ascii="仿宋_GB2312" w:hAnsi="仿宋_GB2312" w:eastAsia="仿宋_GB2312" w:cs="仿宋_GB2312"/>
          <w:sz w:val="32"/>
          <w:szCs w:val="32"/>
          <w:highlight w:val="none"/>
        </w:rPr>
        <w:t>能够在法人层面计量、评估、展示、报告所有风险类别、产品和交易对手风险暴露的规模和构成。相关风险管理信息系统具备以下主要功能：</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支持风险限额管理，对超出风险限额的情况进行实时监测、预警和控制；</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能够计量、评估和报告所有风险类别、产品和交易对手的风险状况，满足全面风险管理需要；</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支持压力测试工作，评估各种不利情景对银行业金融机构及主要业务条线的影响。</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kern w:val="2"/>
          <w:sz w:val="32"/>
          <w:szCs w:val="32"/>
          <w:highlight w:val="none"/>
          <w:lang w:val="en-US" w:eastAsia="zh-CN" w:bidi="ar-SA"/>
        </w:rPr>
      </w:pPr>
      <w:r>
        <w:rPr>
          <w:rFonts w:hint="eastAsia" w:ascii="楷体_GB2312" w:eastAsia="楷体_GB2312"/>
          <w:b/>
          <w:color w:val="auto"/>
          <w:sz w:val="32"/>
          <w:szCs w:val="32"/>
          <w:highlight w:val="none"/>
          <w:lang w:val="en-US" w:eastAsia="zh-CN"/>
        </w:rPr>
        <w:t>4.</w:t>
      </w:r>
      <w:r>
        <w:rPr>
          <w:rFonts w:ascii="楷体_GB2312" w:eastAsia="楷体_GB2312"/>
          <w:b/>
          <w:color w:val="auto"/>
          <w:sz w:val="32"/>
          <w:szCs w:val="32"/>
          <w:highlight w:val="none"/>
        </w:rPr>
        <w:t>内部控制和全面审计情况</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一是</w:t>
      </w:r>
      <w:r>
        <w:rPr>
          <w:rFonts w:hint="eastAsia" w:ascii="仿宋_GB2312" w:hAnsi="仿宋_GB2312" w:eastAsia="仿宋_GB2312" w:cs="仿宋_GB2312"/>
          <w:color w:val="auto"/>
          <w:sz w:val="32"/>
          <w:szCs w:val="32"/>
          <w:highlight w:val="none"/>
        </w:rPr>
        <w:t>离任审计工作</w:t>
      </w:r>
      <w:r>
        <w:rPr>
          <w:rFonts w:hint="eastAsia" w:ascii="仿宋_GB2312" w:hAnsi="仿宋_GB2312" w:eastAsia="仿宋_GB2312" w:cs="仿宋_GB2312"/>
          <w:color w:val="auto"/>
          <w:sz w:val="32"/>
          <w:szCs w:val="32"/>
          <w:highlight w:val="none"/>
          <w:lang w:eastAsia="zh-CN"/>
        </w:rPr>
        <w:t>开展情况</w:t>
      </w:r>
      <w:r>
        <w:rPr>
          <w:rFonts w:hint="eastAsia" w:ascii="仿宋_GB2312" w:hAnsi="仿宋_GB2312" w:eastAsia="仿宋_GB2312" w:cs="仿宋_GB2312"/>
          <w:color w:val="auto"/>
          <w:sz w:val="32"/>
          <w:szCs w:val="32"/>
          <w:highlight w:val="none"/>
        </w:rPr>
        <w:t>。对离任或离职员工进行了离任或经济责任审计，对任职期间业务经营、内部管理、制度执行、廉政建设等方面情况进行了审计。</w:t>
      </w:r>
      <w:r>
        <w:rPr>
          <w:rFonts w:hint="eastAsia" w:ascii="仿宋_GB2312" w:hAnsi="仿宋_GB2312" w:eastAsia="仿宋_GB2312" w:cs="仿宋_GB2312"/>
          <w:b/>
          <w:color w:val="auto"/>
          <w:sz w:val="32"/>
          <w:szCs w:val="32"/>
          <w:highlight w:val="none"/>
        </w:rPr>
        <w:t>二是</w:t>
      </w:r>
      <w:r>
        <w:rPr>
          <w:rFonts w:hint="eastAsia" w:ascii="仿宋_GB2312" w:hAnsi="仿宋_GB2312" w:eastAsia="仿宋_GB2312" w:cs="仿宋_GB2312"/>
          <w:color w:val="auto"/>
          <w:sz w:val="32"/>
          <w:szCs w:val="32"/>
          <w:highlight w:val="none"/>
        </w:rPr>
        <w:t>专项审计工作</w:t>
      </w:r>
      <w:r>
        <w:rPr>
          <w:rFonts w:hint="eastAsia" w:ascii="仿宋_GB2312" w:hAnsi="仿宋_GB2312" w:eastAsia="仿宋_GB2312" w:cs="仿宋_GB2312"/>
          <w:color w:val="auto"/>
          <w:sz w:val="32"/>
          <w:szCs w:val="32"/>
          <w:highlight w:val="none"/>
          <w:lang w:eastAsia="zh-CN"/>
        </w:rPr>
        <w:t>开展情况</w:t>
      </w:r>
      <w:r>
        <w:rPr>
          <w:rFonts w:hint="eastAsia" w:ascii="仿宋_GB2312" w:hAnsi="仿宋_GB2312" w:eastAsia="仿宋_GB2312" w:cs="仿宋_GB2312"/>
          <w:color w:val="auto"/>
          <w:sz w:val="32"/>
          <w:szCs w:val="32"/>
          <w:highlight w:val="none"/>
        </w:rPr>
        <w:t>。开展了反洗钱、新</w:t>
      </w:r>
      <w:r>
        <w:rPr>
          <w:rFonts w:hint="eastAsia" w:ascii="仿宋_GB2312" w:hAnsi="仿宋_GB2312" w:eastAsia="仿宋_GB2312" w:cs="仿宋_GB2312"/>
          <w:color w:val="auto"/>
          <w:sz w:val="32"/>
          <w:szCs w:val="32"/>
          <w:highlight w:val="none"/>
          <w:lang w:eastAsia="zh-CN"/>
        </w:rPr>
        <w:t>形成</w:t>
      </w:r>
      <w:r>
        <w:rPr>
          <w:rFonts w:hint="eastAsia" w:ascii="仿宋_GB2312" w:hAnsi="仿宋_GB2312" w:eastAsia="仿宋_GB2312" w:cs="仿宋_GB2312"/>
          <w:color w:val="auto"/>
          <w:sz w:val="32"/>
          <w:szCs w:val="32"/>
          <w:highlight w:val="none"/>
        </w:rPr>
        <w:t>不良贷款、后续跟踪、薪酬</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、柜面业务操作风险、金融消费者权益保护、</w:t>
      </w:r>
      <w:r>
        <w:rPr>
          <w:rFonts w:hint="eastAsia" w:ascii="仿宋_GB2312" w:hAnsi="仿宋_GB2312" w:eastAsia="仿宋_GB2312" w:cs="仿宋_GB2312"/>
          <w:color w:val="auto"/>
          <w:sz w:val="32"/>
          <w:szCs w:val="32"/>
          <w:highlight w:val="none"/>
          <w:lang w:eastAsia="zh-CN"/>
        </w:rPr>
        <w:t>全面风险管理、财务管理、普惠信贷合规性、制度建设有效性、金融资产分类合规性、征信管理</w:t>
      </w:r>
      <w:r>
        <w:rPr>
          <w:rFonts w:hint="eastAsia" w:ascii="仿宋_GB2312" w:hAnsi="仿宋_GB2312" w:eastAsia="仿宋_GB2312" w:cs="仿宋_GB2312"/>
          <w:color w:val="auto"/>
          <w:sz w:val="32"/>
          <w:szCs w:val="32"/>
          <w:highlight w:val="none"/>
        </w:rPr>
        <w:t>等专项审计，对所有网点库存现金及重要空白凭证进行了</w:t>
      </w:r>
      <w:r>
        <w:rPr>
          <w:rFonts w:hint="eastAsia" w:ascii="仿宋_GB2312" w:hAnsi="仿宋_GB2312" w:eastAsia="仿宋_GB2312" w:cs="仿宋_GB2312"/>
          <w:color w:val="auto"/>
          <w:sz w:val="32"/>
          <w:szCs w:val="32"/>
          <w:highlight w:val="none"/>
          <w:lang w:eastAsia="zh-CN"/>
        </w:rPr>
        <w:t>定期</w:t>
      </w:r>
      <w:r>
        <w:rPr>
          <w:rFonts w:hint="eastAsia" w:ascii="仿宋_GB2312" w:hAnsi="仿宋_GB2312" w:eastAsia="仿宋_GB2312" w:cs="仿宋_GB2312"/>
          <w:color w:val="auto"/>
          <w:sz w:val="32"/>
          <w:szCs w:val="32"/>
          <w:highlight w:val="none"/>
        </w:rPr>
        <w:t>检查。</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rPr>
        <w:t>信用风险状况</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信用风险管理</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风险管理和控制政策方面，</w:t>
      </w:r>
      <w:r>
        <w:rPr>
          <w:rFonts w:hint="eastAsia" w:ascii="仿宋_GB2312" w:hAnsi="仿宋_GB2312" w:eastAsia="仿宋_GB2312" w:cs="仿宋_GB2312"/>
          <w:b/>
          <w:color w:val="auto"/>
          <w:sz w:val="32"/>
          <w:szCs w:val="32"/>
          <w:highlight w:val="none"/>
        </w:rPr>
        <w:t>一是</w:t>
      </w:r>
      <w:r>
        <w:rPr>
          <w:rFonts w:hint="eastAsia" w:ascii="仿宋_GB2312" w:hAnsi="仿宋_GB2312" w:eastAsia="仿宋_GB2312" w:cs="仿宋_GB2312"/>
          <w:color w:val="auto"/>
          <w:sz w:val="32"/>
          <w:szCs w:val="32"/>
          <w:highlight w:val="none"/>
        </w:rPr>
        <w:t>建立了审贷分离相互制衡的风险控制体系；</w:t>
      </w:r>
      <w:r>
        <w:rPr>
          <w:rFonts w:hint="eastAsia" w:ascii="仿宋_GB2312" w:hAnsi="仿宋_GB2312" w:eastAsia="仿宋_GB2312" w:cs="仿宋_GB2312"/>
          <w:b/>
          <w:color w:val="auto"/>
          <w:sz w:val="32"/>
          <w:szCs w:val="32"/>
          <w:highlight w:val="none"/>
        </w:rPr>
        <w:t>二是</w:t>
      </w:r>
      <w:r>
        <w:rPr>
          <w:rFonts w:hint="eastAsia" w:ascii="仿宋_GB2312" w:hAnsi="仿宋_GB2312" w:eastAsia="仿宋_GB2312" w:cs="仿宋_GB2312"/>
          <w:color w:val="auto"/>
          <w:sz w:val="32"/>
          <w:szCs w:val="32"/>
          <w:highlight w:val="none"/>
        </w:rPr>
        <w:t>加强对分支机构资产质量考核和风险责任人考核制度；</w:t>
      </w:r>
      <w:r>
        <w:rPr>
          <w:rFonts w:hint="eastAsia" w:ascii="仿宋_GB2312" w:hAnsi="仿宋_GB2312" w:eastAsia="仿宋_GB2312" w:cs="仿宋_GB2312"/>
          <w:b/>
          <w:color w:val="auto"/>
          <w:sz w:val="32"/>
          <w:szCs w:val="32"/>
          <w:highlight w:val="none"/>
        </w:rPr>
        <w:t>三是</w:t>
      </w:r>
      <w:r>
        <w:rPr>
          <w:rFonts w:hint="eastAsia" w:ascii="仿宋_GB2312" w:hAnsi="仿宋_GB2312" w:eastAsia="仿宋_GB2312" w:cs="仿宋_GB2312"/>
          <w:color w:val="auto"/>
          <w:sz w:val="32"/>
          <w:szCs w:val="32"/>
          <w:highlight w:val="none"/>
        </w:rPr>
        <w:t>在加强对不良资产的重点监控与管理等方面明确了相关措施。</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（2）</w:t>
      </w:r>
      <w:r>
        <w:rPr>
          <w:rFonts w:hint="eastAsia" w:ascii="仿宋_GB2312" w:hAnsi="仿宋_GB2312" w:eastAsia="仿宋_GB2312" w:cs="仿宋_GB2312"/>
          <w:b/>
          <w:color w:val="auto"/>
          <w:sz w:val="32"/>
          <w:szCs w:val="32"/>
          <w:highlight w:val="none"/>
        </w:rPr>
        <w:t>资产风险分类的程序和方法</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本行按照审慎经营、风险防范为本的管理理念，对信贷资产进行五级分类，根据安全履行合同，及时足额偿还的可能性</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将信贷资产分为正常、关注、次级、可疑和损失五个类别，后三类合称为不良信贷资产，以揭示信贷资产实际价值和风险程度，真实、全面、动态地反映信贷资产质量。信贷资产风险分类是在对借款人经营状况、财务状况、担保、非财务等各项因素进行全面、综合分析的基础上，按照分类标准进行分类。信贷资产风险分类实行</w:t>
      </w:r>
      <w:r>
        <w:rPr>
          <w:rFonts w:hint="eastAsia" w:ascii="仿宋_GB2312" w:hAnsi="仿宋_GB2312" w:eastAsia="仿宋_GB2312" w:cs="仿宋_GB2312"/>
          <w:color w:val="auto"/>
          <w:sz w:val="32"/>
          <w:szCs w:val="32"/>
          <w:highlight w:val="none"/>
          <w:lang w:eastAsia="zh-CN"/>
        </w:rPr>
        <w:t>支行</w:t>
      </w:r>
      <w:r>
        <w:rPr>
          <w:rFonts w:hint="eastAsia" w:ascii="仿宋_GB2312" w:hAnsi="仿宋_GB2312" w:eastAsia="仿宋_GB2312" w:cs="仿宋_GB2312"/>
          <w:color w:val="auto"/>
          <w:sz w:val="32"/>
          <w:szCs w:val="32"/>
          <w:highlight w:val="none"/>
        </w:rPr>
        <w:t>初分，分级认定，</w:t>
      </w:r>
      <w:r>
        <w:rPr>
          <w:rFonts w:hint="eastAsia" w:ascii="仿宋_GB2312" w:hAnsi="仿宋_GB2312" w:eastAsia="仿宋_GB2312" w:cs="仿宋_GB2312"/>
          <w:color w:val="auto"/>
          <w:sz w:val="32"/>
          <w:szCs w:val="32"/>
          <w:highlight w:val="none"/>
          <w:lang w:eastAsia="zh-CN"/>
        </w:rPr>
        <w:t>总行审批流程</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auto"/>
          <w:sz w:val="32"/>
          <w:szCs w:val="32"/>
          <w:highlight w:val="none"/>
          <w:lang w:eastAsia="zh-CN"/>
        </w:rPr>
      </w:pPr>
      <w:r>
        <w:rPr>
          <w:rFonts w:hint="eastAsia" w:ascii="楷体_GB2312" w:eastAsia="楷体_GB2312"/>
          <w:b/>
          <w:color w:val="auto"/>
          <w:sz w:val="32"/>
          <w:szCs w:val="32"/>
          <w:highlight w:val="none"/>
          <w:lang w:val="en-US" w:eastAsia="zh-CN"/>
        </w:rPr>
        <w:t>（3）</w:t>
      </w:r>
      <w:r>
        <w:rPr>
          <w:rFonts w:ascii="楷体_GB2312" w:eastAsia="楷体_GB2312"/>
          <w:b/>
          <w:color w:val="auto"/>
          <w:sz w:val="32"/>
          <w:szCs w:val="32"/>
          <w:highlight w:val="none"/>
        </w:rPr>
        <w:t>信贷资产分布情况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本行以“立足</w:t>
      </w:r>
      <w:r>
        <w:rPr>
          <w:rFonts w:hint="eastAsia" w:ascii="仿宋_GB2312" w:hAnsi="仿宋_GB2312" w:eastAsia="仿宋_GB2312" w:cs="仿宋_GB2312"/>
          <w:color w:val="auto"/>
          <w:sz w:val="32"/>
          <w:szCs w:val="32"/>
          <w:highlight w:val="none"/>
          <w:lang w:eastAsia="zh-CN"/>
        </w:rPr>
        <w:t>本土</w:t>
      </w:r>
      <w:r>
        <w:rPr>
          <w:rFonts w:hint="eastAsia" w:ascii="仿宋_GB2312" w:hAnsi="仿宋_GB2312" w:eastAsia="仿宋_GB2312" w:cs="仿宋_GB2312"/>
          <w:color w:val="auto"/>
          <w:sz w:val="32"/>
          <w:szCs w:val="32"/>
          <w:highlight w:val="none"/>
        </w:rPr>
        <w:t>、服务社区、支农支小”为市场定位，重点满足“三农”及小微企业的信贷需求，大力拓宽服务领域，不断创新服务手段，大力促进城乡经济协调发展，贷款分布主要集中在农、林、牧、渔业，批发和零售业等个人贷款</w:t>
      </w:r>
      <w:r>
        <w:rPr>
          <w:rFonts w:hint="eastAsia" w:ascii="仿宋_GB2312" w:hAnsi="仿宋_GB2312" w:eastAsia="仿宋_GB2312" w:cs="仿宋_GB2312"/>
          <w:color w:val="auto"/>
          <w:sz w:val="32"/>
          <w:szCs w:val="32"/>
          <w:highlight w:val="none"/>
          <w:lang w:eastAsia="zh-CN"/>
        </w:rPr>
        <w:t>业务。至</w:t>
      </w:r>
      <w:r>
        <w:rPr>
          <w:rFonts w:hint="eastAsia" w:ascii="仿宋_GB2312" w:hAnsi="仿宋_GB2312" w:eastAsia="仿宋_GB2312" w:cs="仿宋_GB2312"/>
          <w:color w:val="auto"/>
          <w:sz w:val="32"/>
          <w:szCs w:val="32"/>
          <w:highlight w:val="none"/>
          <w:lang w:val="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年末，涉农贷款余额</w:t>
      </w:r>
      <w:r>
        <w:rPr>
          <w:rFonts w:hint="eastAsia" w:ascii="仿宋_GB2312" w:hAnsi="仿宋_GB2312" w:eastAsia="仿宋_GB2312" w:cs="仿宋_GB2312"/>
          <w:color w:val="auto"/>
          <w:sz w:val="32"/>
          <w:szCs w:val="32"/>
          <w:highlight w:val="none"/>
          <w:lang w:val="en-US" w:eastAsia="zh-CN"/>
        </w:rPr>
        <w:t>39.99</w:t>
      </w:r>
      <w:r>
        <w:rPr>
          <w:rFonts w:hint="eastAsia" w:ascii="仿宋_GB2312" w:hAnsi="仿宋_GB2312" w:eastAsia="仿宋_GB2312" w:cs="仿宋_GB2312"/>
          <w:color w:val="auto"/>
          <w:sz w:val="32"/>
          <w:szCs w:val="32"/>
          <w:highlight w:val="none"/>
          <w:lang w:val="zh-CN"/>
        </w:rPr>
        <w:t>亿元，较年初增加</w:t>
      </w:r>
      <w:r>
        <w:rPr>
          <w:rFonts w:hint="eastAsia" w:ascii="仿宋_GB2312" w:hAnsi="仿宋_GB2312" w:eastAsia="仿宋_GB2312" w:cs="仿宋_GB2312"/>
          <w:color w:val="auto"/>
          <w:sz w:val="32"/>
          <w:szCs w:val="32"/>
          <w:highlight w:val="none"/>
          <w:lang w:val="en-US" w:eastAsia="zh-CN"/>
        </w:rPr>
        <w:t>1.96</w:t>
      </w:r>
      <w:r>
        <w:rPr>
          <w:rFonts w:hint="eastAsia" w:ascii="仿宋_GB2312" w:hAnsi="仿宋_GB2312" w:eastAsia="仿宋_GB2312" w:cs="仿宋_GB2312"/>
          <w:color w:val="auto"/>
          <w:sz w:val="32"/>
          <w:szCs w:val="32"/>
          <w:highlight w:val="none"/>
          <w:lang w:val="zh-CN"/>
        </w:rPr>
        <w:t>亿元，实现涉农贷款持续增长目标；小微企业贷款余额</w:t>
      </w:r>
      <w:r>
        <w:rPr>
          <w:rFonts w:hint="eastAsia" w:ascii="仿宋_GB2312" w:hAnsi="仿宋_GB2312" w:eastAsia="仿宋_GB2312" w:cs="仿宋_GB2312"/>
          <w:color w:val="auto"/>
          <w:sz w:val="32"/>
          <w:szCs w:val="32"/>
          <w:highlight w:val="none"/>
          <w:lang w:val="en-US" w:eastAsia="zh-CN"/>
        </w:rPr>
        <w:t>22.82</w:t>
      </w:r>
      <w:r>
        <w:rPr>
          <w:rFonts w:hint="eastAsia" w:ascii="仿宋_GB2312" w:hAnsi="仿宋_GB2312" w:eastAsia="仿宋_GB2312" w:cs="仿宋_GB2312"/>
          <w:color w:val="auto"/>
          <w:sz w:val="32"/>
          <w:szCs w:val="32"/>
          <w:highlight w:val="none"/>
          <w:lang w:val="zh-CN"/>
        </w:rPr>
        <w:t>亿元，较年初增加</w:t>
      </w:r>
      <w:r>
        <w:rPr>
          <w:rFonts w:hint="eastAsia" w:ascii="仿宋_GB2312" w:hAnsi="仿宋_GB2312" w:eastAsia="仿宋_GB2312" w:cs="仿宋_GB2312"/>
          <w:color w:val="auto"/>
          <w:sz w:val="32"/>
          <w:szCs w:val="32"/>
          <w:highlight w:val="none"/>
          <w:lang w:val="en-US" w:eastAsia="zh-CN"/>
        </w:rPr>
        <w:t>2.99</w:t>
      </w:r>
      <w:r>
        <w:rPr>
          <w:rFonts w:hint="eastAsia" w:ascii="仿宋_GB2312" w:hAnsi="仿宋_GB2312" w:eastAsia="仿宋_GB2312" w:cs="仿宋_GB2312"/>
          <w:color w:val="auto"/>
          <w:sz w:val="32"/>
          <w:szCs w:val="32"/>
          <w:highlight w:val="none"/>
          <w:lang w:val="zh-CN"/>
        </w:rPr>
        <w:t>亿元，增幅</w:t>
      </w:r>
      <w:r>
        <w:rPr>
          <w:rFonts w:hint="eastAsia" w:ascii="仿宋_GB2312" w:hAnsi="仿宋_GB2312" w:eastAsia="仿宋_GB2312" w:cs="仿宋_GB2312"/>
          <w:color w:val="auto"/>
          <w:sz w:val="32"/>
          <w:szCs w:val="32"/>
          <w:highlight w:val="none"/>
          <w:lang w:val="en-US" w:eastAsia="zh-CN"/>
        </w:rPr>
        <w:t>15.08</w:t>
      </w:r>
      <w:r>
        <w:rPr>
          <w:rFonts w:hint="eastAsia" w:ascii="仿宋_GB2312" w:hAnsi="仿宋_GB2312" w:eastAsia="仿宋_GB2312" w:cs="仿宋_GB2312"/>
          <w:color w:val="auto"/>
          <w:sz w:val="32"/>
          <w:szCs w:val="32"/>
          <w:highlight w:val="none"/>
          <w:lang w:val="zh-CN"/>
        </w:rPr>
        <w:t>%；其中1000万元以下普惠型小微企业贷款余额</w:t>
      </w:r>
      <w:r>
        <w:rPr>
          <w:rFonts w:hint="eastAsia" w:ascii="仿宋_GB2312" w:hAnsi="仿宋_GB2312" w:eastAsia="仿宋_GB2312" w:cs="仿宋_GB2312"/>
          <w:color w:val="auto"/>
          <w:sz w:val="32"/>
          <w:szCs w:val="32"/>
          <w:highlight w:val="none"/>
          <w:lang w:val="en-US" w:eastAsia="zh-CN"/>
        </w:rPr>
        <w:t>20.3</w:t>
      </w:r>
      <w:r>
        <w:rPr>
          <w:rFonts w:hint="eastAsia" w:ascii="仿宋_GB2312" w:hAnsi="仿宋_GB2312" w:eastAsia="仿宋_GB2312" w:cs="仿宋_GB2312"/>
          <w:color w:val="auto"/>
          <w:sz w:val="32"/>
          <w:szCs w:val="32"/>
          <w:highlight w:val="none"/>
          <w:lang w:val="zh-CN"/>
        </w:rPr>
        <w:t>亿元，较年初增加</w:t>
      </w:r>
      <w:r>
        <w:rPr>
          <w:rFonts w:hint="eastAsia" w:ascii="仿宋_GB2312" w:hAnsi="仿宋_GB2312" w:eastAsia="仿宋_GB2312" w:cs="仿宋_GB2312"/>
          <w:color w:val="auto"/>
          <w:sz w:val="32"/>
          <w:szCs w:val="32"/>
          <w:highlight w:val="none"/>
          <w:lang w:val="en-US" w:eastAsia="zh-CN"/>
        </w:rPr>
        <w:t>2.41</w:t>
      </w:r>
      <w:r>
        <w:rPr>
          <w:rFonts w:hint="eastAsia" w:ascii="仿宋_GB2312" w:hAnsi="仿宋_GB2312" w:eastAsia="仿宋_GB2312" w:cs="仿宋_GB2312"/>
          <w:color w:val="auto"/>
          <w:sz w:val="32"/>
          <w:szCs w:val="32"/>
          <w:highlight w:val="none"/>
          <w:lang w:val="zh-CN"/>
        </w:rPr>
        <w:t>亿，增速</w:t>
      </w:r>
      <w:r>
        <w:rPr>
          <w:rFonts w:hint="eastAsia" w:ascii="仿宋_GB2312" w:hAnsi="仿宋_GB2312" w:eastAsia="仿宋_GB2312" w:cs="仿宋_GB2312"/>
          <w:color w:val="auto"/>
          <w:sz w:val="32"/>
          <w:szCs w:val="32"/>
          <w:highlight w:val="none"/>
          <w:lang w:val="en-US" w:eastAsia="zh-CN"/>
        </w:rPr>
        <w:t>13.45</w:t>
      </w:r>
      <w:r>
        <w:rPr>
          <w:rFonts w:hint="eastAsia" w:ascii="仿宋_GB2312" w:hAnsi="仿宋_GB2312" w:eastAsia="仿宋_GB2312" w:cs="仿宋_GB2312"/>
          <w:color w:val="auto"/>
          <w:sz w:val="32"/>
          <w:szCs w:val="32"/>
          <w:highlight w:val="none"/>
          <w:lang w:val="zh-CN"/>
        </w:rPr>
        <w:t>%，高于各项贷款 (剔除票据) 增速</w:t>
      </w:r>
      <w:r>
        <w:rPr>
          <w:rFonts w:hint="eastAsia" w:ascii="仿宋_GB2312" w:hAnsi="仿宋_GB2312" w:eastAsia="仿宋_GB2312" w:cs="仿宋_GB2312"/>
          <w:color w:val="auto"/>
          <w:sz w:val="32"/>
          <w:szCs w:val="32"/>
          <w:highlight w:val="none"/>
          <w:lang w:val="en-US" w:eastAsia="zh-CN"/>
        </w:rPr>
        <w:t>3.88</w:t>
      </w:r>
      <w:r>
        <w:rPr>
          <w:rFonts w:hint="eastAsia" w:ascii="仿宋_GB2312" w:hAnsi="仿宋_GB2312" w:eastAsia="仿宋_GB2312" w:cs="仿宋_GB2312"/>
          <w:color w:val="auto"/>
          <w:sz w:val="32"/>
          <w:szCs w:val="32"/>
          <w:highlight w:val="none"/>
          <w:lang w:val="zh-CN"/>
        </w:rPr>
        <w:t>个百分点，实现两增两控目标；普惠型小微贷款</w:t>
      </w:r>
      <w:r>
        <w:rPr>
          <w:rFonts w:hint="eastAsia" w:ascii="仿宋_GB2312" w:hAnsi="仿宋_GB2312" w:eastAsia="仿宋_GB2312" w:cs="仿宋_GB2312"/>
          <w:color w:val="auto"/>
          <w:sz w:val="32"/>
          <w:szCs w:val="32"/>
          <w:highlight w:val="none"/>
          <w:lang w:val="en-US" w:eastAsia="zh-CN"/>
        </w:rPr>
        <w:t>9892</w:t>
      </w:r>
      <w:r>
        <w:rPr>
          <w:rFonts w:hint="eastAsia" w:ascii="仿宋_GB2312" w:hAnsi="仿宋_GB2312" w:eastAsia="仿宋_GB2312" w:cs="仿宋_GB2312"/>
          <w:color w:val="auto"/>
          <w:sz w:val="32"/>
          <w:szCs w:val="32"/>
          <w:highlight w:val="none"/>
          <w:lang w:val="zh-CN"/>
        </w:rPr>
        <w:t>户，较年初增加</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lang w:val="zh-CN"/>
        </w:rPr>
        <w:t>户；绿色贷款余额1.02亿元，</w:t>
      </w:r>
      <w:r>
        <w:rPr>
          <w:rFonts w:hint="eastAsia" w:ascii="仿宋_GB2312" w:hAnsi="仿宋_GB2312" w:eastAsia="仿宋_GB2312" w:cs="仿宋_GB2312"/>
          <w:color w:val="auto"/>
          <w:sz w:val="32"/>
          <w:szCs w:val="32"/>
          <w:highlight w:val="none"/>
        </w:rPr>
        <w:t>涵盖了绿色农业、绿色林业、资源循环利用、可再生能源及清洁能源等多个项目，主动履行了我行在环境、资源等方面的社会责任。</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default" w:ascii="楷体_GB2312" w:eastAsia="楷体_GB2312"/>
          <w:b/>
          <w:color w:val="auto"/>
          <w:sz w:val="32"/>
          <w:szCs w:val="32"/>
          <w:highlight w:val="none"/>
          <w:lang w:val="en-US" w:eastAsia="zh-CN"/>
        </w:rPr>
      </w:pPr>
      <w:r>
        <w:rPr>
          <w:rFonts w:hint="eastAsia" w:ascii="楷体_GB2312" w:eastAsia="楷体_GB2312"/>
          <w:b/>
          <w:color w:val="auto"/>
          <w:sz w:val="32"/>
          <w:szCs w:val="32"/>
          <w:highlight w:val="none"/>
          <w:lang w:val="en-US" w:eastAsia="zh-CN"/>
        </w:rPr>
        <w:t>（4）</w:t>
      </w:r>
      <w:r>
        <w:rPr>
          <w:rFonts w:ascii="楷体_GB2312" w:eastAsia="楷体_GB2312"/>
          <w:b/>
          <w:color w:val="auto"/>
          <w:sz w:val="32"/>
          <w:szCs w:val="32"/>
          <w:highlight w:val="none"/>
        </w:rPr>
        <w:t>信用风险集中程度</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授信集中度合理，符合监管要求。202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年末，</w:t>
      </w:r>
      <w:r>
        <w:rPr>
          <w:rFonts w:hint="eastAsia" w:ascii="仿宋_GB2312" w:eastAsia="仿宋_GB2312"/>
          <w:color w:val="auto"/>
          <w:sz w:val="32"/>
          <w:szCs w:val="32"/>
          <w:highlight w:val="none"/>
        </w:rPr>
        <w:t>非同业单一客户风险暴露集中度</w:t>
      </w:r>
      <w:r>
        <w:rPr>
          <w:rFonts w:hint="eastAsia" w:ascii="仿宋_GB2312" w:eastAsia="仿宋_GB2312"/>
          <w:color w:val="auto"/>
          <w:sz w:val="32"/>
          <w:szCs w:val="32"/>
          <w:highlight w:val="none"/>
          <w:lang w:val="en-US" w:eastAsia="zh-CN"/>
        </w:rPr>
        <w:t>3.48</w:t>
      </w:r>
      <w:r>
        <w:rPr>
          <w:rFonts w:ascii="仿宋_GB2312" w:eastAsia="仿宋_GB2312"/>
          <w:color w:val="auto"/>
          <w:sz w:val="32"/>
          <w:szCs w:val="32"/>
          <w:highlight w:val="none"/>
        </w:rPr>
        <w:t>%，</w:t>
      </w:r>
      <w:r>
        <w:rPr>
          <w:rFonts w:hint="eastAsia" w:ascii="仿宋_GB2312" w:eastAsia="仿宋_GB2312"/>
          <w:color w:val="auto"/>
          <w:sz w:val="32"/>
          <w:szCs w:val="32"/>
          <w:highlight w:val="none"/>
        </w:rPr>
        <w:t>非同业单一客户贷款集中度</w:t>
      </w:r>
      <w:r>
        <w:rPr>
          <w:rFonts w:hint="eastAsia" w:ascii="仿宋_GB2312" w:eastAsia="仿宋_GB2312"/>
          <w:color w:val="auto"/>
          <w:sz w:val="32"/>
          <w:szCs w:val="32"/>
          <w:highlight w:val="none"/>
          <w:lang w:val="en-US" w:eastAsia="zh-CN"/>
        </w:rPr>
        <w:t>2.18%，非同业集团及经济依存客户风险暴露集中度4.31%，同业单一客户风险暴露集中度17.87%，同业集团客户风险暴露集中度0%，最大单家同业融出比例22.52%，单一客户关联度0.13%，</w:t>
      </w:r>
      <w:r>
        <w:rPr>
          <w:rFonts w:ascii="仿宋_GB2312" w:eastAsia="仿宋_GB2312"/>
          <w:color w:val="auto"/>
          <w:sz w:val="32"/>
          <w:szCs w:val="32"/>
          <w:highlight w:val="none"/>
        </w:rPr>
        <w:t>全部关联度</w:t>
      </w:r>
      <w:r>
        <w:rPr>
          <w:rFonts w:hint="eastAsia" w:ascii="仿宋_GB2312" w:eastAsia="仿宋_GB2312"/>
          <w:color w:val="auto"/>
          <w:sz w:val="32"/>
          <w:szCs w:val="32"/>
          <w:highlight w:val="none"/>
          <w:lang w:val="en-US" w:eastAsia="zh-CN"/>
        </w:rPr>
        <w:t>1.73</w:t>
      </w:r>
      <w:r>
        <w:rPr>
          <w:rFonts w:ascii="仿宋_GB2312" w:eastAsia="仿宋_GB2312"/>
          <w:color w:val="auto"/>
          <w:sz w:val="32"/>
          <w:szCs w:val="32"/>
          <w:highlight w:val="none"/>
        </w:rPr>
        <w:t>%，均</w:t>
      </w:r>
      <w:r>
        <w:rPr>
          <w:rFonts w:hint="eastAsia" w:ascii="仿宋_GB2312" w:eastAsia="仿宋_GB2312"/>
          <w:color w:val="auto"/>
          <w:sz w:val="32"/>
          <w:szCs w:val="32"/>
          <w:highlight w:val="none"/>
          <w:lang w:eastAsia="zh-CN"/>
        </w:rPr>
        <w:t>优于</w:t>
      </w:r>
      <w:r>
        <w:rPr>
          <w:rFonts w:ascii="仿宋_GB2312" w:eastAsia="仿宋_GB2312"/>
          <w:color w:val="auto"/>
          <w:sz w:val="32"/>
          <w:szCs w:val="32"/>
          <w:highlight w:val="none"/>
        </w:rPr>
        <w:t>监管要求。</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auto"/>
          <w:sz w:val="32"/>
          <w:szCs w:val="32"/>
          <w:highlight w:val="none"/>
          <w:lang w:eastAsia="zh-CN"/>
        </w:rPr>
      </w:pPr>
      <w:r>
        <w:rPr>
          <w:rFonts w:hint="eastAsia" w:ascii="楷体_GB2312" w:eastAsia="楷体_GB2312"/>
          <w:b/>
          <w:color w:val="auto"/>
          <w:sz w:val="32"/>
          <w:szCs w:val="32"/>
          <w:highlight w:val="none"/>
          <w:lang w:val="en-US" w:eastAsia="zh-CN"/>
        </w:rPr>
        <w:t>6.</w:t>
      </w:r>
      <w:r>
        <w:rPr>
          <w:rFonts w:ascii="楷体_GB2312" w:eastAsia="楷体_GB2312"/>
          <w:b/>
          <w:color w:val="auto"/>
          <w:sz w:val="32"/>
          <w:szCs w:val="32"/>
          <w:highlight w:val="none"/>
        </w:rPr>
        <w:t>流动性风险状况</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hAnsi="Times New Roman" w:eastAsia="仿宋_GB2312" w:cs="Times New Roman"/>
          <w:color w:val="auto"/>
          <w:sz w:val="32"/>
          <w:szCs w:val="32"/>
          <w:highlight w:val="none"/>
        </w:rPr>
        <w:t>流动性指标基本符合监管要求。202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年末，流动性比例</w:t>
      </w:r>
      <w:r>
        <w:rPr>
          <w:rFonts w:hint="eastAsia" w:ascii="仿宋_GB2312" w:eastAsia="仿宋_GB2312" w:cs="Times New Roman"/>
          <w:color w:val="auto"/>
          <w:sz w:val="32"/>
          <w:szCs w:val="32"/>
          <w:highlight w:val="none"/>
          <w:lang w:val="en-US" w:eastAsia="zh-CN"/>
        </w:rPr>
        <w:t>40.34</w:t>
      </w:r>
      <w:r>
        <w:rPr>
          <w:rFonts w:hint="eastAsia" w:ascii="仿宋_GB2312" w:hAnsi="Times New Roman" w:eastAsia="仿宋_GB2312" w:cs="Times New Roman"/>
          <w:color w:val="auto"/>
          <w:sz w:val="32"/>
          <w:szCs w:val="32"/>
          <w:highlight w:val="none"/>
        </w:rPr>
        <w:t>%,较去年</w:t>
      </w:r>
      <w:r>
        <w:rPr>
          <w:rFonts w:hint="eastAsia" w:ascii="仿宋_GB2312" w:eastAsia="仿宋_GB2312" w:cs="Times New Roman"/>
          <w:color w:val="auto"/>
          <w:sz w:val="32"/>
          <w:szCs w:val="32"/>
          <w:highlight w:val="none"/>
          <w:lang w:eastAsia="zh-CN"/>
        </w:rPr>
        <w:t>下降</w:t>
      </w:r>
      <w:r>
        <w:rPr>
          <w:rFonts w:hint="eastAsia" w:ascii="仿宋_GB2312" w:eastAsia="仿宋_GB2312" w:cs="Times New Roman"/>
          <w:color w:val="auto"/>
          <w:sz w:val="32"/>
          <w:szCs w:val="32"/>
          <w:highlight w:val="none"/>
          <w:lang w:val="en-US" w:eastAsia="zh-CN"/>
        </w:rPr>
        <w:t>5.63</w:t>
      </w:r>
      <w:r>
        <w:rPr>
          <w:rFonts w:hint="eastAsia" w:ascii="仿宋_GB2312" w:hAnsi="Times New Roman" w:eastAsia="仿宋_GB2312" w:cs="Times New Roman"/>
          <w:color w:val="auto"/>
          <w:sz w:val="32"/>
          <w:szCs w:val="32"/>
          <w:highlight w:val="none"/>
        </w:rPr>
        <w:t>个百分点，</w:t>
      </w:r>
      <w:r>
        <w:rPr>
          <w:rFonts w:hint="eastAsia" w:ascii="仿宋_GB2312" w:eastAsia="仿宋_GB2312" w:cs="Times New Roman"/>
          <w:color w:val="auto"/>
          <w:sz w:val="32"/>
          <w:szCs w:val="32"/>
          <w:highlight w:val="none"/>
          <w:lang w:eastAsia="zh-CN"/>
        </w:rPr>
        <w:t>优</w:t>
      </w:r>
      <w:r>
        <w:rPr>
          <w:rFonts w:hint="eastAsia" w:ascii="仿宋_GB2312" w:hAnsi="Times New Roman" w:eastAsia="仿宋_GB2312" w:cs="Times New Roman"/>
          <w:color w:val="auto"/>
          <w:sz w:val="32"/>
          <w:szCs w:val="32"/>
          <w:highlight w:val="none"/>
        </w:rPr>
        <w:t>于监管要求</w:t>
      </w:r>
      <w:r>
        <w:rPr>
          <w:rFonts w:hint="eastAsia" w:ascii="仿宋_GB2312" w:eastAsia="仿宋_GB2312" w:cs="Times New Roman"/>
          <w:color w:val="auto"/>
          <w:sz w:val="32"/>
          <w:szCs w:val="32"/>
          <w:highlight w:val="none"/>
          <w:lang w:val="en-US" w:eastAsia="zh-CN"/>
        </w:rPr>
        <w:t>15.34</w:t>
      </w:r>
      <w:r>
        <w:rPr>
          <w:rFonts w:hint="eastAsia" w:ascii="仿宋_GB2312" w:hAnsi="Times New Roman" w:eastAsia="仿宋_GB2312" w:cs="Times New Roman"/>
          <w:color w:val="auto"/>
          <w:sz w:val="32"/>
          <w:szCs w:val="32"/>
          <w:highlight w:val="none"/>
        </w:rPr>
        <w:t>个百分点;核心负债依存度6</w:t>
      </w:r>
      <w:r>
        <w:rPr>
          <w:rFonts w:hint="eastAsia" w:ascii="仿宋_GB2312" w:eastAsia="仿宋_GB2312" w:cs="Times New Roman"/>
          <w:color w:val="auto"/>
          <w:sz w:val="32"/>
          <w:szCs w:val="32"/>
          <w:highlight w:val="none"/>
          <w:lang w:val="en-US" w:eastAsia="zh-CN"/>
        </w:rPr>
        <w:t>4.71</w:t>
      </w:r>
      <w:r>
        <w:rPr>
          <w:rFonts w:hint="eastAsia" w:ascii="仿宋_GB2312" w:hAnsi="Times New Roman" w:eastAsia="仿宋_GB2312" w:cs="Times New Roman"/>
          <w:color w:val="auto"/>
          <w:sz w:val="32"/>
          <w:szCs w:val="32"/>
          <w:highlight w:val="none"/>
        </w:rPr>
        <w:t>%，较去年同期</w:t>
      </w:r>
      <w:r>
        <w:rPr>
          <w:rFonts w:hint="eastAsia" w:ascii="仿宋_GB2312" w:eastAsia="仿宋_GB2312" w:cs="Times New Roman"/>
          <w:color w:val="auto"/>
          <w:sz w:val="32"/>
          <w:szCs w:val="32"/>
          <w:highlight w:val="none"/>
          <w:lang w:eastAsia="zh-CN"/>
        </w:rPr>
        <w:t>上升</w:t>
      </w:r>
      <w:r>
        <w:rPr>
          <w:rFonts w:hint="eastAsia" w:ascii="仿宋_GB2312" w:eastAsia="仿宋_GB2312" w:cs="Times New Roman"/>
          <w:color w:val="auto"/>
          <w:sz w:val="32"/>
          <w:szCs w:val="32"/>
          <w:highlight w:val="none"/>
          <w:lang w:val="en-US" w:eastAsia="zh-CN"/>
        </w:rPr>
        <w:t>2.88</w:t>
      </w:r>
      <w:r>
        <w:rPr>
          <w:rFonts w:hint="eastAsia" w:ascii="仿宋_GB2312" w:hAnsi="Times New Roman" w:eastAsia="仿宋_GB2312" w:cs="Times New Roman"/>
          <w:color w:val="auto"/>
          <w:sz w:val="32"/>
          <w:szCs w:val="32"/>
          <w:highlight w:val="none"/>
        </w:rPr>
        <w:t>个百分点，</w:t>
      </w:r>
      <w:r>
        <w:rPr>
          <w:rFonts w:hint="eastAsia" w:ascii="仿宋_GB2312" w:eastAsia="仿宋_GB2312" w:cs="Times New Roman"/>
          <w:color w:val="auto"/>
          <w:sz w:val="32"/>
          <w:szCs w:val="32"/>
          <w:highlight w:val="none"/>
          <w:lang w:eastAsia="zh-CN"/>
        </w:rPr>
        <w:t>优</w:t>
      </w:r>
      <w:r>
        <w:rPr>
          <w:rFonts w:hint="eastAsia" w:ascii="仿宋_GB2312" w:hAnsi="Times New Roman" w:eastAsia="仿宋_GB2312" w:cs="Times New Roman"/>
          <w:color w:val="auto"/>
          <w:sz w:val="32"/>
          <w:szCs w:val="32"/>
          <w:highlight w:val="none"/>
        </w:rPr>
        <w:t>于监管要求</w:t>
      </w:r>
      <w:r>
        <w:rPr>
          <w:rFonts w:hint="eastAsia" w:ascii="仿宋_GB2312" w:eastAsia="仿宋_GB2312" w:cs="Times New Roman"/>
          <w:color w:val="auto"/>
          <w:sz w:val="32"/>
          <w:szCs w:val="32"/>
          <w:highlight w:val="none"/>
          <w:lang w:val="en-US" w:eastAsia="zh-CN"/>
        </w:rPr>
        <w:t>4.71</w:t>
      </w:r>
      <w:r>
        <w:rPr>
          <w:rFonts w:hint="eastAsia" w:ascii="仿宋_GB2312" w:hAnsi="Times New Roman" w:eastAsia="仿宋_GB2312" w:cs="Times New Roman"/>
          <w:color w:val="auto"/>
          <w:sz w:val="32"/>
          <w:szCs w:val="32"/>
          <w:highlight w:val="none"/>
        </w:rPr>
        <w:t>个百分点；流动性缺口率</w:t>
      </w:r>
      <w:r>
        <w:rPr>
          <w:rFonts w:hint="eastAsia" w:ascii="仿宋_GB2312" w:eastAsia="仿宋_GB2312" w:cs="Times New Roman"/>
          <w:color w:val="auto"/>
          <w:sz w:val="32"/>
          <w:szCs w:val="32"/>
          <w:highlight w:val="none"/>
          <w:lang w:val="en-US" w:eastAsia="zh-CN"/>
        </w:rPr>
        <w:t>0.32</w:t>
      </w:r>
      <w:r>
        <w:rPr>
          <w:rFonts w:hint="eastAsia" w:ascii="仿宋_GB2312" w:hAnsi="Times New Roman" w:eastAsia="仿宋_GB2312" w:cs="Times New Roman"/>
          <w:color w:val="auto"/>
          <w:sz w:val="32"/>
          <w:szCs w:val="32"/>
          <w:highlight w:val="none"/>
        </w:rPr>
        <w:t>%，较去年同期下降</w:t>
      </w:r>
      <w:r>
        <w:rPr>
          <w:rFonts w:hint="eastAsia" w:ascii="仿宋_GB2312" w:eastAsia="仿宋_GB2312" w:cs="Times New Roman"/>
          <w:color w:val="auto"/>
          <w:sz w:val="32"/>
          <w:szCs w:val="32"/>
          <w:highlight w:val="none"/>
          <w:lang w:val="en-US" w:eastAsia="zh-CN"/>
        </w:rPr>
        <w:t>26.32</w:t>
      </w:r>
      <w:r>
        <w:rPr>
          <w:rFonts w:hint="eastAsia" w:ascii="仿宋_GB2312" w:hAnsi="Times New Roman" w:eastAsia="仿宋_GB2312" w:cs="Times New Roman"/>
          <w:color w:val="auto"/>
          <w:sz w:val="32"/>
          <w:szCs w:val="32"/>
          <w:highlight w:val="none"/>
        </w:rPr>
        <w:t>个百分点，</w:t>
      </w:r>
      <w:r>
        <w:rPr>
          <w:rFonts w:hint="eastAsia" w:ascii="仿宋_GB2312" w:eastAsia="仿宋_GB2312" w:cs="Times New Roman"/>
          <w:color w:val="auto"/>
          <w:sz w:val="32"/>
          <w:szCs w:val="32"/>
          <w:highlight w:val="none"/>
          <w:lang w:eastAsia="zh-CN"/>
        </w:rPr>
        <w:t>优</w:t>
      </w:r>
      <w:r>
        <w:rPr>
          <w:rFonts w:hint="eastAsia" w:ascii="仿宋_GB2312" w:hAnsi="Times New Roman" w:eastAsia="仿宋_GB2312" w:cs="Times New Roman"/>
          <w:color w:val="auto"/>
          <w:sz w:val="32"/>
          <w:szCs w:val="32"/>
          <w:highlight w:val="none"/>
        </w:rPr>
        <w:t>于监管要求</w:t>
      </w:r>
      <w:r>
        <w:rPr>
          <w:rFonts w:hint="eastAsia" w:ascii="仿宋_GB2312" w:eastAsia="仿宋_GB2312" w:cs="Times New Roman"/>
          <w:color w:val="auto"/>
          <w:sz w:val="32"/>
          <w:szCs w:val="32"/>
          <w:highlight w:val="none"/>
          <w:lang w:val="en-US" w:eastAsia="zh-CN"/>
        </w:rPr>
        <w:t>10.32</w:t>
      </w:r>
      <w:r>
        <w:rPr>
          <w:rFonts w:hint="eastAsia" w:ascii="仿宋_GB2312" w:hAnsi="Times New Roman" w:eastAsia="仿宋_GB2312" w:cs="Times New Roman"/>
          <w:color w:val="auto"/>
          <w:sz w:val="32"/>
          <w:szCs w:val="32"/>
          <w:highlight w:val="none"/>
        </w:rPr>
        <w:t>个百分点;</w:t>
      </w:r>
      <w:r>
        <w:rPr>
          <w:rFonts w:hint="eastAsia" w:ascii="仿宋_GB2312" w:eastAsia="仿宋_GB2312" w:cs="Times New Roman"/>
          <w:color w:val="auto"/>
          <w:sz w:val="32"/>
          <w:szCs w:val="32"/>
          <w:highlight w:val="none"/>
          <w:lang w:eastAsia="zh-CN"/>
        </w:rPr>
        <w:t>月</w:t>
      </w:r>
      <w:r>
        <w:rPr>
          <w:rFonts w:hint="default" w:ascii="仿宋_GB2312" w:eastAsia="仿宋_GB2312" w:cs="Times New Roman"/>
          <w:color w:val="auto"/>
          <w:sz w:val="32"/>
          <w:szCs w:val="32"/>
          <w:highlight w:val="none"/>
          <w:lang w:eastAsia="zh-CN"/>
        </w:rPr>
        <w:t>日</w:t>
      </w:r>
      <w:r>
        <w:rPr>
          <w:rFonts w:hint="eastAsia" w:ascii="仿宋_GB2312" w:eastAsia="仿宋_GB2312" w:cs="Times New Roman"/>
          <w:color w:val="auto"/>
          <w:sz w:val="32"/>
          <w:szCs w:val="32"/>
          <w:highlight w:val="none"/>
          <w:lang w:eastAsia="zh-CN"/>
        </w:rPr>
        <w:t>均存贷比（</w:t>
      </w:r>
      <w:r>
        <w:rPr>
          <w:rFonts w:hint="eastAsia" w:ascii="仿宋_GB2312" w:hAnsi="Times New Roman" w:eastAsia="仿宋_GB2312" w:cs="Times New Roman"/>
          <w:color w:val="auto"/>
          <w:sz w:val="32"/>
          <w:szCs w:val="32"/>
          <w:highlight w:val="none"/>
        </w:rPr>
        <w:t>调整后</w:t>
      </w:r>
      <w:r>
        <w:rPr>
          <w:rFonts w:hint="eastAsia" w:ascii="仿宋_GB2312" w:hAnsi="Times New Roman" w:eastAsia="仿宋_GB2312" w:cs="Times New Roman"/>
          <w:color w:val="auto"/>
          <w:sz w:val="32"/>
          <w:szCs w:val="32"/>
          <w:highlight w:val="none"/>
          <w:lang w:eastAsia="zh-CN"/>
        </w:rPr>
        <w:t>口径</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8</w:t>
      </w:r>
      <w:r>
        <w:rPr>
          <w:rFonts w:hint="default" w:ascii="仿宋_GB2312" w:eastAsia="仿宋_GB2312" w:cs="Times New Roman"/>
          <w:color w:val="auto"/>
          <w:sz w:val="32"/>
          <w:szCs w:val="32"/>
          <w:highlight w:val="none"/>
          <w:lang w:eastAsia="zh-CN"/>
        </w:rPr>
        <w:t>5.88</w:t>
      </w:r>
      <w:r>
        <w:rPr>
          <w:rFonts w:hint="eastAsia" w:ascii="仿宋_GB2312" w:hAnsi="Times New Roman" w:eastAsia="仿宋_GB2312" w:cs="Times New Roman"/>
          <w:color w:val="auto"/>
          <w:sz w:val="32"/>
          <w:szCs w:val="32"/>
          <w:highlight w:val="none"/>
        </w:rPr>
        <w:t>%，较去年同期</w:t>
      </w:r>
      <w:r>
        <w:rPr>
          <w:rFonts w:hint="eastAsia" w:ascii="仿宋_GB2312" w:eastAsia="仿宋_GB2312" w:cs="Times New Roman"/>
          <w:color w:val="auto"/>
          <w:sz w:val="32"/>
          <w:szCs w:val="32"/>
          <w:highlight w:val="none"/>
          <w:lang w:eastAsia="zh-CN"/>
        </w:rPr>
        <w:t>下降</w:t>
      </w:r>
      <w:r>
        <w:rPr>
          <w:rFonts w:hint="eastAsia" w:ascii="仿宋_GB2312" w:eastAsia="仿宋_GB2312" w:cs="Times New Roman"/>
          <w:color w:val="auto"/>
          <w:sz w:val="32"/>
          <w:szCs w:val="32"/>
          <w:highlight w:val="none"/>
          <w:lang w:val="en-US" w:eastAsia="zh-CN"/>
        </w:rPr>
        <w:t>1.04</w:t>
      </w:r>
      <w:r>
        <w:rPr>
          <w:rFonts w:hint="eastAsia" w:ascii="仿宋_GB2312" w:hAnsi="Times New Roman" w:eastAsia="仿宋_GB2312" w:cs="Times New Roman"/>
          <w:color w:val="auto"/>
          <w:sz w:val="32"/>
          <w:szCs w:val="32"/>
          <w:highlight w:val="none"/>
        </w:rPr>
        <w:t>个百分点。</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auto"/>
          <w:sz w:val="32"/>
          <w:szCs w:val="32"/>
          <w:highlight w:val="none"/>
          <w:lang w:eastAsia="zh-CN"/>
        </w:rPr>
      </w:pPr>
      <w:r>
        <w:rPr>
          <w:rFonts w:hint="eastAsia" w:ascii="楷体_GB2312" w:eastAsia="楷体_GB2312"/>
          <w:b/>
          <w:color w:val="auto"/>
          <w:sz w:val="32"/>
          <w:szCs w:val="32"/>
          <w:highlight w:val="none"/>
          <w:lang w:val="en-US" w:eastAsia="zh-CN"/>
        </w:rPr>
        <w:t>7.</w:t>
      </w:r>
      <w:r>
        <w:rPr>
          <w:rFonts w:ascii="楷体_GB2312" w:eastAsia="楷体_GB2312"/>
          <w:b/>
          <w:color w:val="auto"/>
          <w:sz w:val="32"/>
          <w:szCs w:val="32"/>
          <w:highlight w:val="none"/>
        </w:rPr>
        <w:t>操作风险状况</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为确保我行各项业务的正常运作，及时发现和纠正业务经营中存在的问题，</w:t>
      </w:r>
      <w:r>
        <w:rPr>
          <w:rFonts w:hint="eastAsia" w:ascii="仿宋_GB2312" w:hAnsi="仿宋_GB2312" w:eastAsia="仿宋_GB2312" w:cs="仿宋_GB2312"/>
          <w:sz w:val="32"/>
          <w:szCs w:val="32"/>
          <w:highlight w:val="none"/>
          <w:lang w:val="en-US" w:eastAsia="zh-CN"/>
        </w:rPr>
        <w:t>我行多措并举</w:t>
      </w:r>
      <w:r>
        <w:rPr>
          <w:rFonts w:hint="eastAsia" w:ascii="仿宋_GB2312" w:hAnsi="仿宋_GB2312" w:eastAsia="仿宋_GB2312" w:cs="仿宋_GB2312"/>
          <w:sz w:val="32"/>
          <w:szCs w:val="32"/>
          <w:highlight w:val="none"/>
        </w:rPr>
        <w:t>防范操作风险和事故的发生，促进各项业务合规经营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制定严格规范的业务流程，划清各部门、各岗位间业务边界，部门之间职责分工明确，相关职能适当分离，避免潜在的利益冲突；</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密切监测风险限额或权限的执行情况；定期对交易和账户进行复核和对账；</w:t>
      </w:r>
      <w:r>
        <w:rPr>
          <w:rFonts w:hint="eastAsia" w:ascii="仿宋_GB2312" w:hAnsi="仿宋_GB2312" w:eastAsia="仿宋_GB2312" w:cs="仿宋_GB2312"/>
          <w:b/>
          <w:sz w:val="32"/>
          <w:szCs w:val="32"/>
          <w:highlight w:val="none"/>
        </w:rPr>
        <w:t>三是</w:t>
      </w:r>
      <w:r>
        <w:rPr>
          <w:rFonts w:hint="eastAsia" w:ascii="仿宋_GB2312" w:hAnsi="仿宋_GB2312" w:eastAsia="仿宋_GB2312" w:cs="仿宋_GB2312"/>
          <w:sz w:val="32"/>
          <w:szCs w:val="32"/>
          <w:highlight w:val="none"/>
        </w:rPr>
        <w:t>强化员工培训，使员工的业务能力与业务发展相适应，通过培训提升员工的合规意识；</w:t>
      </w:r>
      <w:r>
        <w:rPr>
          <w:rFonts w:hint="eastAsia" w:ascii="仿宋_GB2312" w:hAnsi="仿宋_GB2312" w:eastAsia="仿宋_GB2312" w:cs="仿宋_GB2312"/>
          <w:b/>
          <w:sz w:val="32"/>
          <w:szCs w:val="32"/>
          <w:highlight w:val="none"/>
        </w:rPr>
        <w:t>四是</w:t>
      </w:r>
      <w:r>
        <w:rPr>
          <w:rFonts w:hint="eastAsia" w:ascii="仿宋_GB2312" w:hAnsi="仿宋_GB2312" w:eastAsia="仿宋_GB2312" w:cs="仿宋_GB2312"/>
          <w:sz w:val="32"/>
          <w:szCs w:val="32"/>
          <w:highlight w:val="none"/>
        </w:rPr>
        <w:t>建立员工署名揭发违法违规问题的激励和保护制度及对操作风险管控奖惩兼顾的激励约束机制；加强日常监督检查，不断纠正不规范行为，有效化解操作风险；</w:t>
      </w:r>
      <w:r>
        <w:rPr>
          <w:rFonts w:hint="eastAsia" w:ascii="仿宋_GB2312" w:hAnsi="仿宋_GB2312" w:eastAsia="仿宋_GB2312" w:cs="仿宋_GB2312"/>
          <w:b/>
          <w:sz w:val="32"/>
          <w:szCs w:val="32"/>
          <w:highlight w:val="none"/>
        </w:rPr>
        <w:t>五是</w:t>
      </w:r>
      <w:r>
        <w:rPr>
          <w:rFonts w:hint="eastAsia" w:ascii="仿宋_GB2312" w:hAnsi="仿宋_GB2312" w:eastAsia="仿宋_GB2312" w:cs="仿宋_GB2312"/>
          <w:sz w:val="32"/>
          <w:szCs w:val="32"/>
          <w:highlight w:val="none"/>
        </w:rPr>
        <w:t>切实抓好整改。对检查发现的问题，责令限期整改，明确整改责任人，问题责任人为整改执行责任人，运营主管为整改监督责任人，明确每一个问题的整改措施、整改期限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落实到岗到人，定期收集汇总整改相关资料，掌握整改进度，实行销号管理。</w:t>
      </w:r>
      <w:r>
        <w:rPr>
          <w:rFonts w:hint="eastAsia" w:ascii="仿宋_GB2312" w:hAnsi="仿宋_GB2312" w:eastAsia="仿宋_GB2312" w:cs="仿宋_GB2312"/>
          <w:b/>
          <w:sz w:val="32"/>
          <w:szCs w:val="32"/>
          <w:highlight w:val="none"/>
        </w:rPr>
        <w:t>六是</w:t>
      </w:r>
      <w:r>
        <w:rPr>
          <w:rFonts w:hint="eastAsia" w:ascii="仿宋_GB2312" w:hAnsi="仿宋_GB2312" w:eastAsia="仿宋_GB2312" w:cs="仿宋_GB2312"/>
          <w:sz w:val="32"/>
          <w:szCs w:val="32"/>
          <w:highlight w:val="none"/>
        </w:rPr>
        <w:t>强化风险管控。在信贷管理方面，严格执行贷款“三查”制度，督促贷款“三查”环节岗位人员履职尽职，按规定开展贷前实地调查、贷后实地检查，严把客户准入关，注重对贷款资金实际用途、第一还款来源、第二还款来源的调查、审查，加强客户关联信息、关联贷款的管理，对信用观念差、还贷意愿差、不配合贷前、贷后检查的客户审慎放贷。</w:t>
      </w:r>
      <w:r>
        <w:rPr>
          <w:rFonts w:hint="eastAsia" w:ascii="仿宋_GB2312" w:hAnsi="仿宋_GB2312" w:eastAsia="仿宋_GB2312" w:cs="仿宋_GB2312"/>
          <w:b/>
          <w:sz w:val="32"/>
          <w:szCs w:val="32"/>
          <w:highlight w:val="none"/>
        </w:rPr>
        <w:t>七是</w:t>
      </w:r>
      <w:r>
        <w:rPr>
          <w:rFonts w:hint="eastAsia" w:ascii="仿宋_GB2312" w:hAnsi="仿宋_GB2312" w:eastAsia="仿宋_GB2312" w:cs="仿宋_GB2312"/>
          <w:sz w:val="32"/>
          <w:szCs w:val="32"/>
          <w:highlight w:val="none"/>
        </w:rPr>
        <w:t>建立长效机制。加强对员工的培训教育，重视全员的合规理念培育和业务操作指导，不断增强员工的合规意识、风险意识和责任意识。注重审计成果的运用，全面深入分析审计发现问题的成因，结合实际对相关问题进行纠正，对相关制度进行完善，争取以点带面、以审促改效果。</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截止报告日，我行未发生重大操作风险事件。</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auto"/>
          <w:sz w:val="32"/>
          <w:szCs w:val="32"/>
          <w:highlight w:val="none"/>
        </w:rPr>
      </w:pPr>
      <w:r>
        <w:rPr>
          <w:rFonts w:hint="eastAsia" w:ascii="楷体_GB2312" w:eastAsia="楷体_GB2312"/>
          <w:b/>
          <w:color w:val="auto"/>
          <w:sz w:val="32"/>
          <w:szCs w:val="32"/>
          <w:highlight w:val="none"/>
          <w:lang w:val="en-US" w:eastAsia="zh-CN"/>
        </w:rPr>
        <w:t>8.</w:t>
      </w:r>
      <w:r>
        <w:rPr>
          <w:rFonts w:hint="eastAsia" w:ascii="楷体_GB2312" w:eastAsia="楷体_GB2312"/>
          <w:b/>
          <w:color w:val="auto"/>
          <w:sz w:val="32"/>
          <w:szCs w:val="32"/>
          <w:highlight w:val="none"/>
        </w:rPr>
        <w:t>同业竞争风险</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目前，随着金融市场对外开放和金融体制改革的深入，银行同业竞争将更加激烈，银行金融机构都面临诸如客户流失、市场份额下降等挑战。</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针对同业竞争风险，本行通过建立高效、灵活的经营机制，调整营销策略，合理确定市场定位，寻找市场空缺，加强服务手段创新，以提升核心竞争能力，培养并逐渐扩大基本客户群，稳定优质客户群，争取更大的市场份额，继续</w:t>
      </w:r>
      <w:r>
        <w:rPr>
          <w:rFonts w:hint="eastAsia" w:ascii="仿宋_GB2312" w:eastAsia="仿宋_GB2312"/>
          <w:color w:val="auto"/>
          <w:sz w:val="32"/>
          <w:szCs w:val="32"/>
          <w:highlight w:val="none"/>
          <w:lang w:eastAsia="zh-CN"/>
        </w:rPr>
        <w:t>发挥</w:t>
      </w:r>
      <w:r>
        <w:rPr>
          <w:rFonts w:ascii="仿宋_GB2312" w:eastAsia="仿宋_GB2312"/>
          <w:color w:val="auto"/>
          <w:sz w:val="32"/>
          <w:szCs w:val="32"/>
          <w:highlight w:val="none"/>
        </w:rPr>
        <w:t>业已形成的规模和机构网点优势，保持在同业竞争中的领先地位。</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color w:val="auto"/>
          <w:kern w:val="0"/>
          <w:sz w:val="32"/>
          <w:szCs w:val="32"/>
          <w:highlight w:val="none"/>
          <w:lang w:eastAsia="zh-CN"/>
        </w:rPr>
      </w:pPr>
      <w:r>
        <w:rPr>
          <w:rFonts w:hint="eastAsia" w:ascii="楷体_GB2312" w:hAnsi="楷体_GB2312" w:eastAsia="楷体_GB2312" w:cs="楷体_GB2312"/>
          <w:b/>
          <w:color w:val="auto"/>
          <w:kern w:val="0"/>
          <w:sz w:val="32"/>
          <w:szCs w:val="32"/>
          <w:highlight w:val="none"/>
          <w:lang w:val="en-US" w:eastAsia="zh-CN"/>
        </w:rPr>
        <w:t>9.</w:t>
      </w:r>
      <w:r>
        <w:rPr>
          <w:rFonts w:hint="eastAsia" w:ascii="楷体_GB2312" w:hAnsi="楷体_GB2312" w:eastAsia="楷体_GB2312" w:cs="楷体_GB2312"/>
          <w:b/>
          <w:color w:val="auto"/>
          <w:kern w:val="0"/>
          <w:sz w:val="32"/>
          <w:szCs w:val="32"/>
          <w:highlight w:val="none"/>
        </w:rPr>
        <w:t>信息技术风险</w:t>
      </w:r>
      <w:r>
        <w:rPr>
          <w:rFonts w:hint="eastAsia" w:ascii="楷体_GB2312" w:hAnsi="楷体_GB2312" w:eastAsia="楷体_GB2312" w:cs="楷体_GB2312"/>
          <w:b/>
          <w:color w:val="auto"/>
          <w:kern w:val="0"/>
          <w:sz w:val="32"/>
          <w:szCs w:val="32"/>
          <w:highlight w:val="none"/>
          <w:lang w:eastAsia="zh-CN"/>
        </w:rPr>
        <w:t>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信息技术风险主要是信息网络突发事件或不法分子借助网络系统、高科技手段实施犯罪而引发的风险</w:t>
      </w:r>
      <w:r>
        <w:rPr>
          <w:rFonts w:hint="eastAsia" w:ascii="仿宋_GB2312" w:hAnsi="Times New Roman" w:eastAsia="仿宋_GB2312" w:cs="Times New Roman"/>
          <w:color w:val="auto"/>
          <w:sz w:val="32"/>
          <w:szCs w:val="32"/>
          <w:highlight w:val="none"/>
          <w:lang w:val="en-US" w:eastAsia="zh-CN"/>
        </w:rPr>
        <w:t>或者因网络、系统、设备等原因造成的业务连续性风险</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为防范信息科技风险，</w:t>
      </w:r>
      <w:r>
        <w:rPr>
          <w:rFonts w:hint="eastAsia" w:ascii="仿宋_GB2312" w:hAnsi="Times New Roman" w:eastAsia="仿宋_GB2312" w:cs="Times New Roman"/>
          <w:color w:val="auto"/>
          <w:sz w:val="32"/>
          <w:szCs w:val="32"/>
          <w:highlight w:val="none"/>
        </w:rPr>
        <w:t>本行</w:t>
      </w:r>
      <w:r>
        <w:rPr>
          <w:rFonts w:hint="eastAsia" w:ascii="仿宋_GB2312" w:hAnsi="Times New Roman" w:eastAsia="仿宋_GB2312" w:cs="Times New Roman"/>
          <w:b/>
          <w:bCs/>
          <w:color w:val="auto"/>
          <w:sz w:val="32"/>
          <w:szCs w:val="32"/>
          <w:highlight w:val="none"/>
          <w:lang w:val="en-US" w:eastAsia="zh-CN"/>
        </w:rPr>
        <w:t>一是</w:t>
      </w:r>
      <w:r>
        <w:rPr>
          <w:rFonts w:hint="eastAsia" w:ascii="仿宋_GB2312" w:hAnsi="Times New Roman" w:eastAsia="仿宋_GB2312" w:cs="Times New Roman"/>
          <w:color w:val="auto"/>
          <w:sz w:val="32"/>
          <w:szCs w:val="32"/>
          <w:highlight w:val="none"/>
        </w:rPr>
        <w:t>推进了信息科技建章立制工作，不断完善信息科技标准规范，结合本行实际制定计算机相应的内控制度，切实将本行的网络安全管理责任落到实处；</w:t>
      </w:r>
      <w:r>
        <w:rPr>
          <w:rFonts w:hint="eastAsia" w:ascii="仿宋_GB2312" w:hAnsi="Times New Roman" w:eastAsia="仿宋_GB2312" w:cs="Times New Roman"/>
          <w:b/>
          <w:bCs/>
          <w:color w:val="auto"/>
          <w:sz w:val="32"/>
          <w:szCs w:val="32"/>
          <w:highlight w:val="none"/>
          <w:lang w:val="en-US" w:eastAsia="zh-CN"/>
        </w:rPr>
        <w:t>二是</w:t>
      </w:r>
      <w:r>
        <w:rPr>
          <w:rFonts w:hint="eastAsia" w:ascii="仿宋_GB2312" w:hAnsi="Times New Roman" w:eastAsia="仿宋_GB2312" w:cs="Times New Roman"/>
          <w:color w:val="auto"/>
          <w:sz w:val="32"/>
          <w:szCs w:val="32"/>
          <w:highlight w:val="none"/>
          <w:lang w:val="en-US" w:eastAsia="zh-CN"/>
        </w:rPr>
        <w:t>为保障业务连续性，本行更新了业务设备</w:t>
      </w:r>
      <w:r>
        <w:rPr>
          <w:rFonts w:hint="eastAsia" w:ascii="仿宋_GB2312" w:eastAsia="仿宋_GB2312" w:cs="Times New Roman"/>
          <w:color w:val="auto"/>
          <w:sz w:val="32"/>
          <w:szCs w:val="32"/>
          <w:highlight w:val="none"/>
          <w:lang w:val="en-US" w:eastAsia="zh-CN"/>
        </w:rPr>
        <w:t>，对网络参数进行了备份并确保备份有效性</w:t>
      </w:r>
      <w:r>
        <w:rPr>
          <w:rFonts w:hint="eastAsia" w:ascii="仿宋_GB2312" w:hAnsi="Times New Roman" w:eastAsia="仿宋_GB2312" w:cs="Times New Roman"/>
          <w:color w:val="auto"/>
          <w:sz w:val="32"/>
          <w:szCs w:val="32"/>
          <w:highlight w:val="none"/>
          <w:lang w:val="en-US" w:eastAsia="zh-CN"/>
        </w:rPr>
        <w:t>，按</w:t>
      </w:r>
      <w:r>
        <w:rPr>
          <w:rFonts w:hint="eastAsia" w:ascii="仿宋_GB2312" w:eastAsia="仿宋_GB2312" w:cs="Times New Roman"/>
          <w:color w:val="auto"/>
          <w:sz w:val="32"/>
          <w:szCs w:val="32"/>
          <w:highlight w:val="none"/>
          <w:lang w:val="en-US" w:eastAsia="zh-CN"/>
        </w:rPr>
        <w:t>省行</w:t>
      </w:r>
      <w:r>
        <w:rPr>
          <w:rFonts w:hint="eastAsia" w:ascii="仿宋_GB2312" w:hAnsi="Times New Roman" w:eastAsia="仿宋_GB2312" w:cs="Times New Roman"/>
          <w:color w:val="auto"/>
          <w:sz w:val="32"/>
          <w:szCs w:val="32"/>
          <w:highlight w:val="none"/>
          <w:lang w:val="en-US" w:eastAsia="zh-CN"/>
        </w:rPr>
        <w:t>要求开展了网络应急演练；</w:t>
      </w:r>
      <w:r>
        <w:rPr>
          <w:rFonts w:hint="eastAsia" w:ascii="仿宋_GB2312" w:hAnsi="Times New Roman" w:eastAsia="仿宋_GB2312" w:cs="Times New Roman"/>
          <w:b/>
          <w:bCs/>
          <w:color w:val="auto"/>
          <w:sz w:val="32"/>
          <w:szCs w:val="32"/>
          <w:highlight w:val="none"/>
          <w:lang w:val="en-US" w:eastAsia="zh-CN"/>
        </w:rPr>
        <w:t>三是</w:t>
      </w:r>
      <w:r>
        <w:rPr>
          <w:rFonts w:hint="eastAsia" w:ascii="仿宋_GB2312" w:hAnsi="Times New Roman" w:eastAsia="仿宋_GB2312" w:cs="Times New Roman"/>
          <w:color w:val="auto"/>
          <w:sz w:val="32"/>
          <w:szCs w:val="32"/>
          <w:highlight w:val="none"/>
          <w:lang w:val="en-US" w:eastAsia="zh-CN"/>
        </w:rPr>
        <w:t>加强</w:t>
      </w:r>
      <w:r>
        <w:rPr>
          <w:rFonts w:hint="eastAsia" w:ascii="仿宋_GB2312" w:hAnsi="Times New Roman" w:eastAsia="仿宋_GB2312" w:cs="Times New Roman"/>
          <w:color w:val="auto"/>
          <w:sz w:val="32"/>
          <w:szCs w:val="32"/>
          <w:highlight w:val="none"/>
        </w:rPr>
        <w:t>防病毒管理</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统一安装和布放</w:t>
      </w:r>
      <w:r>
        <w:rPr>
          <w:rFonts w:hint="eastAsia" w:ascii="仿宋_GB2312" w:eastAsia="仿宋_GB2312" w:cs="Times New Roman"/>
          <w:color w:val="auto"/>
          <w:sz w:val="32"/>
          <w:szCs w:val="32"/>
          <w:highlight w:val="none"/>
          <w:lang w:val="en-US" w:eastAsia="zh-CN"/>
        </w:rPr>
        <w:t>省行</w:t>
      </w:r>
      <w:r>
        <w:rPr>
          <w:rFonts w:hint="eastAsia" w:ascii="仿宋_GB2312" w:hAnsi="Times New Roman" w:eastAsia="仿宋_GB2312" w:cs="Times New Roman"/>
          <w:color w:val="auto"/>
          <w:sz w:val="32"/>
          <w:szCs w:val="32"/>
          <w:highlight w:val="none"/>
          <w:lang w:val="en-US" w:eastAsia="zh-CN"/>
        </w:rPr>
        <w:t>下发的“奇安信天擎”防病毒软件；</w:t>
      </w:r>
      <w:r>
        <w:rPr>
          <w:rFonts w:hint="eastAsia" w:ascii="仿宋_GB2312" w:hAnsi="Times New Roman" w:eastAsia="仿宋_GB2312" w:cs="Times New Roman"/>
          <w:b/>
          <w:bCs/>
          <w:color w:val="auto"/>
          <w:sz w:val="32"/>
          <w:szCs w:val="32"/>
          <w:highlight w:val="none"/>
          <w:lang w:val="en-US" w:eastAsia="zh-CN"/>
        </w:rPr>
        <w:t>四是</w:t>
      </w:r>
      <w:r>
        <w:rPr>
          <w:rFonts w:hint="eastAsia" w:ascii="仿宋_GB2312" w:hAnsi="Times New Roman" w:eastAsia="仿宋_GB2312" w:cs="Times New Roman"/>
          <w:color w:val="auto"/>
          <w:sz w:val="32"/>
          <w:szCs w:val="32"/>
          <w:highlight w:val="none"/>
        </w:rPr>
        <w:t>持续做好内部</w:t>
      </w:r>
      <w:r>
        <w:rPr>
          <w:rFonts w:hint="eastAsia" w:ascii="仿宋_GB2312" w:hAnsi="Times New Roman" w:eastAsia="仿宋_GB2312" w:cs="Times New Roman"/>
          <w:color w:val="auto"/>
          <w:sz w:val="32"/>
          <w:szCs w:val="32"/>
          <w:highlight w:val="none"/>
          <w:lang w:val="en-US" w:eastAsia="zh-CN"/>
        </w:rPr>
        <w:t>信息科技</w:t>
      </w:r>
      <w:r>
        <w:rPr>
          <w:rFonts w:hint="eastAsia" w:ascii="仿宋_GB2312" w:hAnsi="Times New Roman" w:eastAsia="仿宋_GB2312" w:cs="Times New Roman"/>
          <w:color w:val="auto"/>
          <w:sz w:val="32"/>
          <w:szCs w:val="32"/>
          <w:highlight w:val="none"/>
        </w:rPr>
        <w:t>安全检查与保障</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b/>
          <w:bCs/>
          <w:color w:val="auto"/>
          <w:sz w:val="32"/>
          <w:szCs w:val="32"/>
          <w:highlight w:val="none"/>
          <w:lang w:val="en-US" w:eastAsia="zh-CN"/>
        </w:rPr>
        <w:t>五是</w:t>
      </w:r>
      <w:r>
        <w:rPr>
          <w:rFonts w:hint="eastAsia" w:ascii="仿宋_GB2312" w:hAnsi="Times New Roman" w:eastAsia="仿宋_GB2312" w:cs="Times New Roman"/>
          <w:color w:val="auto"/>
          <w:sz w:val="32"/>
          <w:szCs w:val="32"/>
          <w:highlight w:val="none"/>
          <w:lang w:val="en-US" w:eastAsia="zh-CN"/>
        </w:rPr>
        <w:t>对全行员工开展</w:t>
      </w:r>
      <w:r>
        <w:rPr>
          <w:rFonts w:hint="eastAsia" w:ascii="仿宋_GB2312" w:hAnsi="Times New Roman" w:eastAsia="仿宋_GB2312" w:cs="Times New Roman"/>
          <w:color w:val="auto"/>
          <w:sz w:val="32"/>
          <w:szCs w:val="32"/>
          <w:highlight w:val="none"/>
        </w:rPr>
        <w:t>信息</w:t>
      </w:r>
      <w:r>
        <w:rPr>
          <w:rFonts w:hint="eastAsia" w:ascii="仿宋_GB2312" w:hAnsi="Times New Roman" w:eastAsia="仿宋_GB2312" w:cs="Times New Roman"/>
          <w:color w:val="auto"/>
          <w:sz w:val="32"/>
          <w:szCs w:val="32"/>
          <w:highlight w:val="none"/>
          <w:lang w:val="en-US" w:eastAsia="zh-CN"/>
        </w:rPr>
        <w:t>科技安全培训，提升员工信息科技安全意识。切实做好信息科技风险防控工作。</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color w:val="auto"/>
          <w:kern w:val="0"/>
          <w:sz w:val="32"/>
          <w:szCs w:val="32"/>
          <w:highlight w:val="none"/>
          <w:lang w:val="en-US" w:eastAsia="zh-CN"/>
        </w:rPr>
      </w:pPr>
      <w:r>
        <w:rPr>
          <w:rFonts w:hint="eastAsia" w:ascii="楷体_GB2312" w:hAnsi="楷体_GB2312" w:eastAsia="楷体_GB2312" w:cs="楷体_GB2312"/>
          <w:b/>
          <w:color w:val="auto"/>
          <w:kern w:val="0"/>
          <w:sz w:val="32"/>
          <w:szCs w:val="32"/>
          <w:highlight w:val="none"/>
          <w:lang w:val="en-US" w:eastAsia="zh-CN"/>
        </w:rPr>
        <w:t>10.安全生产风险情况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安全生产风险</w:t>
      </w:r>
      <w:r>
        <w:rPr>
          <w:rFonts w:hint="eastAsia" w:ascii="仿宋_GB2312" w:hAnsi="仿宋_GB2312" w:eastAsia="仿宋_GB2312" w:cs="仿宋_GB2312"/>
          <w:color w:val="auto"/>
          <w:kern w:val="0"/>
          <w:sz w:val="32"/>
          <w:szCs w:val="32"/>
          <w:highlight w:val="none"/>
        </w:rPr>
        <w:t>主要是</w:t>
      </w:r>
      <w:r>
        <w:rPr>
          <w:rFonts w:hint="eastAsia" w:ascii="仿宋_GB2312" w:hAnsi="仿宋_GB2312" w:eastAsia="仿宋_GB2312" w:cs="仿宋_GB2312"/>
          <w:color w:val="auto"/>
          <w:kern w:val="0"/>
          <w:sz w:val="32"/>
          <w:szCs w:val="32"/>
          <w:highlight w:val="none"/>
          <w:lang w:eastAsia="zh-CN"/>
        </w:rPr>
        <w:t>经营过程中，因内部管理、硬件设备、外部不可抗因素等，导致出现财产损失和危及人生安全的风险。本行始终把</w:t>
      </w:r>
      <w:r>
        <w:rPr>
          <w:rFonts w:hint="eastAsia" w:ascii="仿宋_GB2312" w:hAnsi="仿宋_GB2312" w:eastAsia="仿宋_GB2312" w:cs="仿宋_GB2312"/>
          <w:color w:val="auto"/>
          <w:sz w:val="32"/>
          <w:szCs w:val="32"/>
          <w:highlight w:val="none"/>
          <w:lang w:val="en-US" w:eastAsia="zh-CN"/>
        </w:rPr>
        <w:t>安全生产摆在重要位置，确保全行安全稳定运行，</w:t>
      </w:r>
      <w:r>
        <w:rPr>
          <w:rFonts w:hint="eastAsia" w:ascii="仿宋_GB2312" w:hAnsi="仿宋_GB2312" w:eastAsia="仿宋_GB2312" w:cs="仿宋_GB2312"/>
          <w:b/>
          <w:bCs/>
          <w:color w:val="auto"/>
          <w:sz w:val="32"/>
          <w:szCs w:val="32"/>
          <w:highlight w:val="none"/>
          <w:lang w:val="en-US" w:eastAsia="zh-CN"/>
        </w:rPr>
        <w:t>一是严格落实安全生产责任制，</w:t>
      </w:r>
      <w:r>
        <w:rPr>
          <w:rFonts w:hint="eastAsia" w:ascii="仿宋_GB2312" w:hAnsi="仿宋_GB2312" w:eastAsia="仿宋_GB2312" w:cs="仿宋_GB2312"/>
          <w:color w:val="auto"/>
          <w:sz w:val="32"/>
          <w:szCs w:val="32"/>
          <w:highlight w:val="none"/>
          <w:lang w:val="en-US" w:eastAsia="zh-CN"/>
        </w:rPr>
        <w:t>层层签订安全生产责任状，明确各自岗位、条线工作职责，与周边单位和当地公安局派出所签订联防联控协议，压实工作责任。</w:t>
      </w:r>
      <w:r>
        <w:rPr>
          <w:rFonts w:hint="eastAsia" w:ascii="仿宋_GB2312" w:hAnsi="仿宋_GB2312" w:eastAsia="仿宋_GB2312" w:cs="仿宋_GB2312"/>
          <w:b/>
          <w:bCs/>
          <w:color w:val="auto"/>
          <w:sz w:val="32"/>
          <w:szCs w:val="32"/>
          <w:highlight w:val="none"/>
          <w:lang w:val="en-US" w:eastAsia="zh-CN"/>
        </w:rPr>
        <w:t>二是加强员工和安保人员业务培训，</w:t>
      </w:r>
      <w:r>
        <w:rPr>
          <w:rFonts w:hint="eastAsia" w:ascii="仿宋_GB2312" w:hAnsi="仿宋_GB2312" w:eastAsia="仿宋_GB2312" w:cs="仿宋_GB2312"/>
          <w:color w:val="auto"/>
          <w:sz w:val="32"/>
          <w:szCs w:val="32"/>
          <w:highlight w:val="none"/>
          <w:lang w:val="en-US" w:eastAsia="zh-CN"/>
        </w:rPr>
        <w:t>开展防火防盗防爆演练，常态化开展安全生产教育培训，结合实际进一步完善各类应急处置预案，妥善处理突发事件，夯实安全基础。</w:t>
      </w:r>
      <w:r>
        <w:rPr>
          <w:rFonts w:hint="eastAsia" w:ascii="仿宋_GB2312" w:hAnsi="仿宋_GB2312" w:eastAsia="仿宋_GB2312" w:cs="仿宋_GB2312"/>
          <w:b/>
          <w:bCs/>
          <w:color w:val="auto"/>
          <w:sz w:val="32"/>
          <w:szCs w:val="32"/>
          <w:highlight w:val="none"/>
          <w:lang w:val="en-US" w:eastAsia="zh-CN"/>
        </w:rPr>
        <w:t>三是全面深入开展安全隐患排查治理，</w:t>
      </w:r>
      <w:r>
        <w:rPr>
          <w:rFonts w:hint="eastAsia" w:ascii="仿宋_GB2312" w:hAnsi="仿宋_GB2312" w:eastAsia="仿宋_GB2312" w:cs="仿宋_GB2312"/>
          <w:color w:val="auto"/>
          <w:sz w:val="32"/>
          <w:szCs w:val="32"/>
          <w:highlight w:val="none"/>
          <w:lang w:val="en-US" w:eastAsia="zh-CN"/>
        </w:rPr>
        <w:t>对营业网点、自助设备和武装押运、防火防盗、值班值守、重大事项报告等重点区域和关键环节发现的问题进行集中整治，严防死守、严防严控，以“时时放心不下”的责任感和“处处如履薄冰”的警惕感，以“一万”的努力防止“万一”的发生。</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color w:val="FF0000"/>
          <w:kern w:val="0"/>
          <w:sz w:val="32"/>
          <w:szCs w:val="32"/>
          <w:highlight w:val="none"/>
          <w:lang w:val="en-US" w:eastAsia="zh-CN"/>
        </w:rPr>
      </w:pPr>
      <w:r>
        <w:rPr>
          <w:rFonts w:hint="eastAsia" w:ascii="楷体_GB2312" w:hAnsi="楷体_GB2312" w:eastAsia="楷体_GB2312" w:cs="楷体_GB2312"/>
          <w:b/>
          <w:color w:val="auto"/>
          <w:kern w:val="0"/>
          <w:sz w:val="32"/>
          <w:szCs w:val="32"/>
          <w:highlight w:val="none"/>
          <w:lang w:val="en-US" w:eastAsia="zh-CN"/>
        </w:rPr>
        <w:t>11.声誉风险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声誉风险主要是指由我行经营、管理及其他行为或外部事件导致利益相关方对我行负面评价的风险。本行坚决贯彻落实省行、辖区党组和监管部门关于加强声誉风险管理有关精神，采取前置措施，完善组织体系，健全工作机制，为本行发展营造良好的声誉环境，保障了各项业务和工作平稳健康运行。</w:t>
      </w:r>
      <w:r>
        <w:rPr>
          <w:rFonts w:hint="eastAsia" w:ascii="仿宋_GB2312" w:hAnsi="仿宋_GB2312" w:eastAsia="仿宋_GB2312" w:cs="仿宋_GB2312"/>
          <w:b/>
          <w:bCs/>
          <w:color w:val="auto"/>
          <w:kern w:val="2"/>
          <w:sz w:val="32"/>
          <w:szCs w:val="32"/>
          <w:highlight w:val="none"/>
          <w:lang w:val="en-US" w:eastAsia="zh-CN" w:bidi="ar-SA"/>
        </w:rPr>
        <w:t>一是加强组织领导。</w:t>
      </w:r>
      <w:r>
        <w:rPr>
          <w:rFonts w:hint="eastAsia" w:ascii="仿宋_GB2312" w:hAnsi="仿宋_GB2312" w:eastAsia="仿宋_GB2312" w:cs="仿宋_GB2312"/>
          <w:color w:val="auto"/>
          <w:kern w:val="2"/>
          <w:sz w:val="32"/>
          <w:szCs w:val="32"/>
          <w:highlight w:val="none"/>
          <w:lang w:val="en-US" w:eastAsia="zh-CN" w:bidi="ar-SA"/>
        </w:rPr>
        <w:t>我行成立以董事长为组长，其他班子成员为副组长，各支行行长和各部门负责人为成员的声誉风险防范工作领导小组，领导小组下设办公室在总行办公室，各支行、部（室）成立相应的工作小组，指定专人负责声誉风险工作，承担本支行、本部门声誉风险管理的主体责任。</w:t>
      </w:r>
      <w:r>
        <w:rPr>
          <w:rFonts w:hint="eastAsia" w:ascii="仿宋_GB2312" w:hAnsi="仿宋_GB2312" w:eastAsia="仿宋_GB2312" w:cs="仿宋_GB2312"/>
          <w:b/>
          <w:bCs/>
          <w:color w:val="auto"/>
          <w:kern w:val="2"/>
          <w:sz w:val="32"/>
          <w:szCs w:val="32"/>
          <w:highlight w:val="none"/>
          <w:lang w:val="en-US" w:eastAsia="zh-CN" w:bidi="ar-SA"/>
        </w:rPr>
        <w:t>二是完善管理制度。</w:t>
      </w:r>
      <w:r>
        <w:rPr>
          <w:rFonts w:hint="eastAsia" w:ascii="仿宋_GB2312" w:hAnsi="仿宋_GB2312" w:eastAsia="仿宋_GB2312" w:cs="仿宋_GB2312"/>
          <w:color w:val="auto"/>
          <w:kern w:val="2"/>
          <w:sz w:val="32"/>
          <w:szCs w:val="32"/>
          <w:highlight w:val="none"/>
          <w:lang w:val="en-US" w:eastAsia="zh-CN" w:bidi="ar-SA"/>
        </w:rPr>
        <w:t>我行制定完善舆情管理制度和办法，</w:t>
      </w:r>
      <w:r>
        <w:rPr>
          <w:rFonts w:hint="default" w:ascii="仿宋_GB2312" w:hAnsi="仿宋_GB2312" w:eastAsia="仿宋_GB2312" w:cs="仿宋_GB2312"/>
          <w:color w:val="auto"/>
          <w:kern w:val="2"/>
          <w:sz w:val="32"/>
          <w:szCs w:val="32"/>
          <w:highlight w:val="none"/>
          <w:lang w:eastAsia="zh-CN" w:bidi="ar-SA"/>
        </w:rPr>
        <w:t>制定了</w:t>
      </w:r>
      <w:r>
        <w:rPr>
          <w:rFonts w:hint="eastAsia" w:ascii="仿宋_GB2312" w:hAnsi="仿宋_GB2312" w:eastAsia="仿宋_GB2312" w:cs="仿宋_GB2312"/>
          <w:color w:val="auto"/>
          <w:kern w:val="2"/>
          <w:sz w:val="32"/>
          <w:szCs w:val="32"/>
          <w:highlight w:val="none"/>
          <w:lang w:val="en-US" w:eastAsia="zh-CN" w:bidi="ar-SA"/>
        </w:rPr>
        <w:t>《寻乌农商银行声誉风险管理办法》</w:t>
      </w:r>
      <w:r>
        <w:rPr>
          <w:rFonts w:hint="default" w:ascii="仿宋_GB2312" w:hAnsi="仿宋_GB2312" w:eastAsia="仿宋_GB2312" w:cs="仿宋_GB2312"/>
          <w:color w:val="auto"/>
          <w:kern w:val="2"/>
          <w:sz w:val="32"/>
          <w:szCs w:val="32"/>
          <w:highlight w:val="none"/>
          <w:lang w:eastAsia="zh-CN" w:bidi="ar-SA"/>
        </w:rPr>
        <w:t>，制定了</w:t>
      </w:r>
      <w:r>
        <w:rPr>
          <w:rFonts w:hint="eastAsia" w:ascii="仿宋_GB2312" w:hAnsi="仿宋_GB2312" w:eastAsia="仿宋_GB2312" w:cs="仿宋_GB2312"/>
          <w:color w:val="auto"/>
          <w:kern w:val="2"/>
          <w:sz w:val="32"/>
          <w:szCs w:val="32"/>
          <w:highlight w:val="none"/>
          <w:lang w:val="en-US" w:eastAsia="zh-CN" w:bidi="ar-SA"/>
        </w:rPr>
        <w:t>《寻乌农商银行</w:t>
      </w:r>
      <w:r>
        <w:rPr>
          <w:rFonts w:hint="default" w:ascii="仿宋_GB2312" w:hAnsi="仿宋_GB2312" w:eastAsia="仿宋_GB2312" w:cs="仿宋_GB2312"/>
          <w:color w:val="auto"/>
          <w:kern w:val="2"/>
          <w:sz w:val="32"/>
          <w:szCs w:val="32"/>
          <w:highlight w:val="none"/>
          <w:lang w:eastAsia="zh-CN" w:bidi="ar-SA"/>
        </w:rPr>
        <w:t>负面</w:t>
      </w:r>
      <w:r>
        <w:rPr>
          <w:rFonts w:hint="eastAsia" w:ascii="仿宋_GB2312" w:hAnsi="仿宋_GB2312" w:eastAsia="仿宋_GB2312" w:cs="仿宋_GB2312"/>
          <w:color w:val="auto"/>
          <w:kern w:val="2"/>
          <w:sz w:val="32"/>
          <w:szCs w:val="32"/>
          <w:highlight w:val="none"/>
          <w:lang w:val="en-US" w:eastAsia="zh-CN" w:bidi="ar-SA"/>
        </w:rPr>
        <w:t>舆情风险应急处置预案》</w:t>
      </w:r>
      <w:r>
        <w:rPr>
          <w:rFonts w:hint="default" w:ascii="仿宋_GB2312" w:hAnsi="仿宋_GB2312" w:eastAsia="仿宋_GB2312" w:cs="仿宋_GB2312"/>
          <w:color w:val="auto"/>
          <w:kern w:val="2"/>
          <w:sz w:val="32"/>
          <w:szCs w:val="32"/>
          <w:highlight w:val="none"/>
          <w:lang w:eastAsia="zh-CN" w:bidi="ar-SA"/>
        </w:rPr>
        <w:t>进行修订</w:t>
      </w:r>
      <w:r>
        <w:rPr>
          <w:rFonts w:hint="eastAsia" w:ascii="仿宋_GB2312" w:hAnsi="仿宋_GB2312" w:eastAsia="仿宋_GB2312" w:cs="仿宋_GB2312"/>
          <w:color w:val="auto"/>
          <w:kern w:val="2"/>
          <w:sz w:val="32"/>
          <w:szCs w:val="32"/>
          <w:highlight w:val="none"/>
          <w:lang w:val="en-US" w:eastAsia="zh-CN" w:bidi="ar-SA"/>
        </w:rPr>
        <w:t>，设置专人专岗负责声誉风险日常管理。将声誉风险管理工作纳入评先评优和干部员工绩效考核体系。严格对外宣传广告发布。严格执行负面舆情监测报告制度，落实舆情网7*24小时登陆监测。</w:t>
      </w:r>
      <w:r>
        <w:rPr>
          <w:rFonts w:hint="eastAsia" w:ascii="仿宋_GB2312" w:hAnsi="仿宋_GB2312" w:eastAsia="仿宋_GB2312" w:cs="仿宋_GB2312"/>
          <w:b/>
          <w:bCs/>
          <w:color w:val="auto"/>
          <w:kern w:val="2"/>
          <w:sz w:val="32"/>
          <w:szCs w:val="32"/>
          <w:highlight w:val="none"/>
          <w:lang w:val="en-US" w:eastAsia="zh-CN" w:bidi="ar-SA"/>
        </w:rPr>
        <w:t>三是强化员工管理。</w:t>
      </w:r>
      <w:r>
        <w:rPr>
          <w:rFonts w:hint="eastAsia" w:ascii="仿宋_GB2312" w:hAnsi="仿宋_GB2312" w:eastAsia="仿宋_GB2312" w:cs="仿宋_GB2312"/>
          <w:color w:val="auto"/>
          <w:kern w:val="2"/>
          <w:sz w:val="32"/>
          <w:szCs w:val="32"/>
          <w:highlight w:val="none"/>
          <w:lang w:val="en-US" w:eastAsia="zh-CN" w:bidi="ar-SA"/>
        </w:rPr>
        <w:t>我行常态化开展员工谈心谈话和家访，管好员工8小时内外，关注员工微信、朋友圈、抖音等新媒体言论，关心爱护员工，舒缓员工工作压力，防范员工异常行为导致的负面舆情。</w:t>
      </w:r>
      <w:r>
        <w:rPr>
          <w:rFonts w:hint="eastAsia" w:ascii="仿宋_GB2312" w:hAnsi="仿宋_GB2312" w:eastAsia="仿宋_GB2312" w:cs="仿宋_GB2312"/>
          <w:b/>
          <w:bCs w:val="0"/>
          <w:color w:val="000000"/>
          <w:kern w:val="0"/>
          <w:sz w:val="32"/>
          <w:szCs w:val="32"/>
          <w:highlight w:val="none"/>
          <w:lang w:eastAsia="zh-CN"/>
        </w:rPr>
        <w:t>四</w:t>
      </w:r>
      <w:r>
        <w:rPr>
          <w:rFonts w:hint="eastAsia" w:ascii="仿宋_GB2312" w:hAnsi="仿宋_GB2312" w:eastAsia="仿宋_GB2312" w:cs="仿宋_GB2312"/>
          <w:b/>
          <w:color w:val="000000"/>
          <w:kern w:val="0"/>
          <w:sz w:val="32"/>
          <w:szCs w:val="32"/>
          <w:highlight w:val="none"/>
        </w:rPr>
        <w:t>是加大正面宣传。</w:t>
      </w:r>
      <w:r>
        <w:rPr>
          <w:rFonts w:hint="eastAsia" w:ascii="仿宋_GB2312" w:hAnsi="仿宋_GB2312" w:eastAsia="仿宋_GB2312" w:cs="仿宋_GB2312"/>
          <w:color w:val="000000"/>
          <w:sz w:val="32"/>
          <w:szCs w:val="32"/>
          <w:highlight w:val="none"/>
        </w:rPr>
        <w:t>我行</w:t>
      </w:r>
      <w:r>
        <w:rPr>
          <w:rFonts w:hint="eastAsia" w:ascii="仿宋_GB2312" w:hAnsi="仿宋_GB2312" w:eastAsia="仿宋_GB2312" w:cs="仿宋_GB2312"/>
          <w:bCs/>
          <w:color w:val="000000"/>
          <w:kern w:val="0"/>
          <w:sz w:val="32"/>
          <w:szCs w:val="32"/>
          <w:highlight w:val="none"/>
        </w:rPr>
        <w:t>制定</w:t>
      </w:r>
      <w:r>
        <w:rPr>
          <w:rFonts w:hint="eastAsia" w:ascii="仿宋_GB2312" w:hAnsi="仿宋_GB2312" w:eastAsia="仿宋_GB2312" w:cs="仿宋_GB2312"/>
          <w:b w:val="0"/>
          <w:bCs/>
          <w:color w:val="auto"/>
          <w:sz w:val="32"/>
          <w:szCs w:val="32"/>
          <w:highlight w:val="none"/>
          <w:lang w:eastAsia="zh-CN"/>
        </w:rPr>
        <w:t>信息宣传考核办法，</w:t>
      </w:r>
      <w:r>
        <w:rPr>
          <w:rFonts w:hint="eastAsia" w:ascii="仿宋_GB2312" w:hAnsi="仿宋_GB2312" w:eastAsia="仿宋_GB2312" w:cs="仿宋_GB2312"/>
          <w:b w:val="0"/>
          <w:bCs/>
          <w:color w:val="auto"/>
          <w:sz w:val="32"/>
          <w:szCs w:val="32"/>
          <w:highlight w:val="none"/>
          <w:lang w:val="en-US" w:eastAsia="zh-CN"/>
        </w:rPr>
        <w:t>严格执行对外信息发布审核制</w:t>
      </w:r>
      <w:r>
        <w:rPr>
          <w:rFonts w:hint="eastAsia" w:ascii="仿宋_GB2312" w:hAnsi="仿宋_GB2312" w:eastAsia="仿宋_GB2312" w:cs="仿宋_GB2312"/>
          <w:bCs/>
          <w:color w:val="000000"/>
          <w:kern w:val="0"/>
          <w:sz w:val="32"/>
          <w:szCs w:val="32"/>
          <w:highlight w:val="none"/>
        </w:rPr>
        <w:t>度</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Cs/>
          <w:color w:val="000000"/>
          <w:kern w:val="0"/>
          <w:sz w:val="32"/>
          <w:szCs w:val="32"/>
          <w:highlight w:val="none"/>
        </w:rPr>
        <w:t>加大权威媒体投稿力度，积极主动宣传我行在服务</w:t>
      </w:r>
      <w:r>
        <w:rPr>
          <w:rFonts w:hint="eastAsia" w:ascii="仿宋_GB2312" w:hAnsi="仿宋_GB2312" w:eastAsia="仿宋_GB2312" w:cs="仿宋_GB2312"/>
          <w:bCs/>
          <w:color w:val="000000"/>
          <w:kern w:val="0"/>
          <w:sz w:val="32"/>
          <w:szCs w:val="32"/>
          <w:highlight w:val="none"/>
          <w:lang w:eastAsia="zh-CN"/>
        </w:rPr>
        <w:t>地方经济建设、支持民营小微企业</w:t>
      </w:r>
      <w:r>
        <w:rPr>
          <w:rFonts w:hint="eastAsia" w:ascii="仿宋_GB2312" w:hAnsi="仿宋_GB2312" w:eastAsia="仿宋_GB2312" w:cs="仿宋_GB2312"/>
          <w:bCs/>
          <w:color w:val="000000"/>
          <w:kern w:val="0"/>
          <w:sz w:val="32"/>
          <w:szCs w:val="32"/>
          <w:highlight w:val="none"/>
        </w:rPr>
        <w:t>、助力</w:t>
      </w:r>
      <w:r>
        <w:rPr>
          <w:rFonts w:hint="eastAsia" w:ascii="仿宋_GB2312" w:hAnsi="仿宋_GB2312" w:eastAsia="仿宋_GB2312" w:cs="仿宋_GB2312"/>
          <w:bCs/>
          <w:color w:val="000000"/>
          <w:kern w:val="0"/>
          <w:sz w:val="32"/>
          <w:szCs w:val="32"/>
          <w:highlight w:val="none"/>
          <w:lang w:eastAsia="zh-CN"/>
        </w:rPr>
        <w:t>全面</w:t>
      </w:r>
      <w:r>
        <w:rPr>
          <w:rFonts w:hint="eastAsia" w:ascii="仿宋_GB2312" w:hAnsi="仿宋_GB2312" w:eastAsia="仿宋_GB2312" w:cs="仿宋_GB2312"/>
          <w:bCs/>
          <w:color w:val="000000"/>
          <w:kern w:val="0"/>
          <w:sz w:val="32"/>
          <w:szCs w:val="32"/>
          <w:highlight w:val="none"/>
        </w:rPr>
        <w:t>乡村振兴、践行普惠金融、</w:t>
      </w:r>
      <w:r>
        <w:rPr>
          <w:rFonts w:hint="eastAsia" w:ascii="仿宋_GB2312" w:hAnsi="仿宋_GB2312" w:eastAsia="仿宋_GB2312" w:cs="仿宋_GB2312"/>
          <w:bCs/>
          <w:color w:val="000000"/>
          <w:kern w:val="0"/>
          <w:sz w:val="32"/>
          <w:szCs w:val="32"/>
          <w:highlight w:val="none"/>
          <w:lang w:eastAsia="zh-CN"/>
        </w:rPr>
        <w:t>金融知识宣传</w:t>
      </w:r>
      <w:r>
        <w:rPr>
          <w:rFonts w:hint="eastAsia" w:ascii="仿宋_GB2312" w:hAnsi="仿宋_GB2312" w:eastAsia="仿宋_GB2312" w:cs="仿宋_GB2312"/>
          <w:bCs/>
          <w:color w:val="000000"/>
          <w:kern w:val="0"/>
          <w:sz w:val="32"/>
          <w:szCs w:val="32"/>
          <w:highlight w:val="none"/>
        </w:rPr>
        <w:t>等方面的贡献，提高社会正面知名度和影响力。</w:t>
      </w:r>
      <w:r>
        <w:rPr>
          <w:rFonts w:hint="eastAsia" w:ascii="仿宋_GB2312" w:hAnsi="仿宋_GB2312" w:eastAsia="仿宋_GB2312" w:cs="仿宋_GB2312"/>
          <w:b/>
          <w:color w:val="000000"/>
          <w:kern w:val="0"/>
          <w:sz w:val="32"/>
          <w:szCs w:val="32"/>
          <w:highlight w:val="none"/>
          <w:lang w:eastAsia="zh-CN"/>
        </w:rPr>
        <w:t>五</w:t>
      </w:r>
      <w:r>
        <w:rPr>
          <w:rFonts w:hint="eastAsia" w:ascii="仿宋_GB2312" w:hAnsi="仿宋_GB2312" w:eastAsia="仿宋_GB2312" w:cs="仿宋_GB2312"/>
          <w:b/>
          <w:color w:val="000000"/>
          <w:kern w:val="0"/>
          <w:sz w:val="32"/>
          <w:szCs w:val="32"/>
          <w:highlight w:val="none"/>
        </w:rPr>
        <w:t>是参与公益事业。</w:t>
      </w:r>
      <w:r>
        <w:rPr>
          <w:rFonts w:hint="eastAsia" w:ascii="仿宋_GB2312" w:hAnsi="仿宋_GB2312" w:eastAsia="仿宋_GB2312" w:cs="仿宋_GB2312"/>
          <w:color w:val="000000"/>
          <w:sz w:val="32"/>
          <w:szCs w:val="32"/>
          <w:highlight w:val="none"/>
        </w:rPr>
        <w:t>积极参与社会公益事业，投身保文创卫、捐资助学、关爱弱势群体、融入社区治理</w:t>
      </w:r>
      <w:r>
        <w:rPr>
          <w:rFonts w:hint="eastAsia" w:ascii="仿宋_GB2312" w:hAnsi="仿宋_GB2312" w:eastAsia="仿宋_GB2312" w:cs="仿宋_GB2312"/>
          <w:color w:val="000000"/>
          <w:sz w:val="32"/>
          <w:szCs w:val="32"/>
          <w:highlight w:val="none"/>
          <w:lang w:eastAsia="zh-CN"/>
        </w:rPr>
        <w:t>、营商环境改善</w:t>
      </w:r>
      <w:r>
        <w:rPr>
          <w:rFonts w:hint="eastAsia" w:ascii="仿宋_GB2312" w:hAnsi="仿宋_GB2312" w:eastAsia="仿宋_GB2312" w:cs="仿宋_GB2312"/>
          <w:color w:val="000000"/>
          <w:sz w:val="32"/>
          <w:szCs w:val="32"/>
          <w:highlight w:val="none"/>
        </w:rPr>
        <w:t>等，进一步塑造有情怀、有温度、有担当的企业形象。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12.内部控制制度的完整性、合理性和有效性</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0"/>
          <w:sz w:val="32"/>
          <w:szCs w:val="32"/>
          <w:highlight w:val="none"/>
        </w:rPr>
        <w:t>本行参照《中华人民共和国民法典》《中华人民共和国商业银行法》《商业银行内部控制指引》等相关法律、规章及规范性文件要求，从控制环境、风险识别、内控措施、信息反馈、监督评价等方面，对本行的制度进行了梳理、完善。经梳理评价，本行内控制度均符合法律法规、行政规章和监管要求，能够覆盖各业务条线，能有效控制业务风险，各项制度在日常经营活动中得到贯彻执行，并由相关职能部门落实监督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13.金融消费者权益状况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93" w:firstLineChars="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本</w:t>
      </w:r>
      <w:r>
        <w:rPr>
          <w:rFonts w:hint="eastAsia" w:ascii="仿宋_GB2312" w:hAnsi="仿宋_GB2312" w:eastAsia="仿宋_GB2312" w:cs="仿宋_GB2312"/>
          <w:color w:val="auto"/>
          <w:kern w:val="0"/>
          <w:sz w:val="32"/>
          <w:szCs w:val="32"/>
          <w:highlight w:val="none"/>
        </w:rPr>
        <w:t>行在业务经营、内部控制与风险管理中充分考虑金融消费者投诉反映的问题和需求，并在各营业网点、网络公众平台等公布监管部门和本行投诉受理电话及受理流程，使投诉渠道无障碍、畅通直达，保护了金融消费者的合法权益，及时妥善地解决消费者投诉事项</w:t>
      </w:r>
      <w:r>
        <w:rPr>
          <w:rFonts w:hint="eastAsia" w:ascii="仿宋_GB2312" w:hAnsi="仿宋_GB2312" w:eastAsia="仿宋_GB2312" w:cs="仿宋_GB2312"/>
          <w:color w:val="auto"/>
          <w:kern w:val="0"/>
          <w:sz w:val="32"/>
          <w:szCs w:val="32"/>
          <w:highlight w:val="none"/>
          <w:lang w:eastAsia="zh-CN"/>
        </w:rPr>
        <w:t>，切实维护金融消费权益</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同时，积极开展金融知识宣传活动，提高广大群众金融素养。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93" w:firstLineChars="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我行</w:t>
      </w:r>
      <w:r>
        <w:rPr>
          <w:rFonts w:hint="eastAsia" w:ascii="仿宋_GB2312" w:hAnsi="仿宋_GB2312" w:eastAsia="仿宋_GB2312" w:cs="仿宋_GB2312"/>
          <w:color w:val="auto"/>
          <w:kern w:val="0"/>
          <w:sz w:val="32"/>
          <w:szCs w:val="32"/>
          <w:highlight w:val="none"/>
          <w:lang w:val="en-US" w:eastAsia="zh-CN"/>
        </w:rPr>
        <w:t>2024</w:t>
      </w:r>
      <w:r>
        <w:rPr>
          <w:rFonts w:hint="eastAsia" w:ascii="仿宋_GB2312" w:hAnsi="仿宋_GB2312" w:eastAsia="仿宋_GB2312" w:cs="仿宋_GB2312"/>
          <w:color w:val="auto"/>
          <w:kern w:val="0"/>
          <w:sz w:val="32"/>
          <w:szCs w:val="32"/>
          <w:highlight w:val="none"/>
          <w:lang w:val="zh-CN" w:eastAsia="zh-CN"/>
        </w:rPr>
        <w:t>本行共受理国家金融监督管理总局江西监管局、省行96268、12345政务服务便民热线投诉（含求助咨询）共</w:t>
      </w:r>
      <w:r>
        <w:rPr>
          <w:rFonts w:hint="eastAsia" w:ascii="仿宋_GB2312" w:hAnsi="仿宋_GB2312" w:eastAsia="仿宋_GB2312" w:cs="仿宋_GB2312"/>
          <w:color w:val="auto"/>
          <w:kern w:val="0"/>
          <w:sz w:val="32"/>
          <w:szCs w:val="32"/>
          <w:highlight w:val="none"/>
          <w:lang w:val="en-US" w:eastAsia="zh-CN"/>
        </w:rPr>
        <w:t>71</w:t>
      </w:r>
      <w:r>
        <w:rPr>
          <w:rFonts w:hint="eastAsia" w:ascii="仿宋_GB2312" w:hAnsi="仿宋_GB2312" w:eastAsia="仿宋_GB2312" w:cs="仿宋_GB2312"/>
          <w:color w:val="auto"/>
          <w:kern w:val="0"/>
          <w:sz w:val="32"/>
          <w:szCs w:val="32"/>
          <w:highlight w:val="none"/>
          <w:lang w:val="zh-CN" w:eastAsia="zh-CN"/>
        </w:rPr>
        <w:t>件，已办结</w:t>
      </w:r>
      <w:r>
        <w:rPr>
          <w:rFonts w:hint="eastAsia" w:ascii="仿宋_GB2312" w:hAnsi="仿宋_GB2312" w:eastAsia="仿宋_GB2312" w:cs="仿宋_GB2312"/>
          <w:color w:val="auto"/>
          <w:kern w:val="0"/>
          <w:sz w:val="32"/>
          <w:szCs w:val="32"/>
          <w:highlight w:val="none"/>
          <w:lang w:val="en-US" w:eastAsia="zh-CN"/>
        </w:rPr>
        <w:t>71</w:t>
      </w:r>
      <w:r>
        <w:rPr>
          <w:rFonts w:hint="eastAsia" w:ascii="仿宋_GB2312" w:hAnsi="仿宋_GB2312" w:eastAsia="仿宋_GB2312" w:cs="仿宋_GB2312"/>
          <w:color w:val="auto"/>
          <w:kern w:val="0"/>
          <w:sz w:val="32"/>
          <w:szCs w:val="32"/>
          <w:highlight w:val="none"/>
          <w:lang w:val="zh-CN" w:eastAsia="zh-CN"/>
        </w:rPr>
        <w:t>件，办结率100%。</w:t>
      </w:r>
      <w:r>
        <w:rPr>
          <w:rFonts w:hint="eastAsia" w:ascii="仿宋_GB2312" w:hAnsi="仿宋_GB2312" w:eastAsia="仿宋_GB2312" w:cs="仿宋_GB2312"/>
          <w:color w:val="auto"/>
          <w:kern w:val="0"/>
          <w:sz w:val="32"/>
          <w:szCs w:val="32"/>
          <w:highlight w:val="none"/>
          <w:lang w:val="en-US" w:eastAsia="zh-CN"/>
        </w:rPr>
        <w:t>以上投诉（求助）均进行了及时妥善处置，对客户合理诉求，第一时间给予解决，确实无法解决的，进行耐心细致解释，得到客户认可。</w:t>
      </w:r>
      <w:r>
        <w:rPr>
          <w:rFonts w:hint="eastAsia" w:ascii="仿宋_GB2312" w:hAnsi="仿宋_GB2312" w:eastAsia="仿宋_GB2312" w:cs="仿宋_GB2312"/>
          <w:color w:val="auto"/>
          <w:kern w:val="0"/>
          <w:sz w:val="32"/>
          <w:szCs w:val="32"/>
          <w:highlight w:val="none"/>
          <w:lang w:val="zh-CN" w:eastAsia="zh-CN"/>
        </w:rPr>
        <w:t>按投诉领域划分:</w:t>
      </w:r>
      <w:r>
        <w:rPr>
          <w:rFonts w:hint="eastAsia" w:ascii="仿宋_GB2312" w:hAnsi="仿宋_GB2312" w:eastAsia="仿宋_GB2312" w:cs="仿宋_GB2312"/>
          <w:color w:val="auto"/>
          <w:kern w:val="0"/>
          <w:sz w:val="32"/>
          <w:szCs w:val="32"/>
          <w:highlight w:val="none"/>
          <w:lang w:val="en-US" w:eastAsia="zh-CN"/>
        </w:rPr>
        <w:t>信贷领域18件，账户限额类15件，</w:t>
      </w:r>
      <w:r>
        <w:rPr>
          <w:rFonts w:hint="eastAsia" w:ascii="仿宋_GB2312" w:hAnsi="仿宋_GB2312" w:eastAsia="仿宋_GB2312" w:cs="仿宋_GB2312"/>
          <w:color w:val="auto"/>
          <w:kern w:val="0"/>
          <w:sz w:val="32"/>
          <w:szCs w:val="32"/>
          <w:highlight w:val="none"/>
          <w:lang w:val="zh-CN" w:eastAsia="zh-CN"/>
        </w:rPr>
        <w:t>短信类</w:t>
      </w:r>
      <w:r>
        <w:rPr>
          <w:rFonts w:hint="eastAsia" w:ascii="仿宋_GB2312" w:hAnsi="仿宋_GB2312" w:eastAsia="仿宋_GB2312" w:cs="仿宋_GB2312"/>
          <w:color w:val="auto"/>
          <w:kern w:val="0"/>
          <w:sz w:val="32"/>
          <w:szCs w:val="32"/>
          <w:highlight w:val="none"/>
          <w:lang w:val="en-US" w:eastAsia="zh-CN"/>
        </w:rPr>
        <w:t>13件，服务类11件，信用卡类5件，社保卡类3件，其他类6件。按投诉区域划分：其中县城网点36件占50.70%，农区网点35件占49.30%。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eastAsia="zh-CN"/>
        </w:rPr>
        <w:t>02</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zh-CN" w:eastAsia="zh-CN"/>
        </w:rPr>
        <w:t>年本行未出现与消费者保护相关的重大突发事件和重大负面舆情，未发生违反法律法规、虚假宣传、误导或欺骗消费者而引发大规模投诉或群体性事件，亦未发生个人金融信息泄漏和造成严重社会影响的事件。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14.</w:t>
      </w:r>
      <w:r>
        <w:rPr>
          <w:rFonts w:hint="eastAsia" w:ascii="仿宋_GB2312" w:hAnsi="仿宋_GB2312" w:eastAsia="仿宋_GB2312" w:cs="仿宋_GB2312"/>
          <w:b/>
          <w:bCs/>
          <w:color w:val="auto"/>
          <w:kern w:val="0"/>
          <w:sz w:val="32"/>
          <w:szCs w:val="32"/>
          <w:highlight w:val="none"/>
        </w:rPr>
        <w:t>其他风险状况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截止202</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年末，本行未发现内部控制制度在完整性、合理性和有效性等方面存在重大缺陷及其他风险。</w:t>
      </w:r>
    </w:p>
    <w:p>
      <w:pPr>
        <w:pStyle w:val="2"/>
        <w:keepNext w:val="0"/>
        <w:keepLines w:val="0"/>
        <w:pageBreakBefore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四、公司治理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lang w:eastAsia="zh-CN"/>
        </w:rPr>
        <w:t>（一）董事会的构成及其工作情况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本行</w:t>
      </w:r>
      <w:r>
        <w:rPr>
          <w:rFonts w:hint="eastAsia" w:ascii="仿宋_GB2312" w:hAnsi="仿宋_GB2312" w:eastAsia="仿宋_GB2312" w:cs="仿宋_GB2312"/>
          <w:color w:val="auto"/>
          <w:sz w:val="32"/>
          <w:szCs w:val="32"/>
          <w:highlight w:val="none"/>
        </w:rPr>
        <w:t>董事会由</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名董事组成，其中独立董事</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董事会下设战略、提名与薪酬、三农、信息科技、风险管理、关联交易、消费者权益保护、审计、普惠金融等专门委员会。全体董事恪尽职守，积极参与本公司重大问题的研究和决策，注重维护本公司和全体股东的利益。</w:t>
      </w:r>
    </w:p>
    <w:p>
      <w:pPr>
        <w:pStyle w:val="2"/>
        <w:ind w:firstLine="643" w:firstLineChars="200"/>
        <w:rPr>
          <w:rFonts w:hint="eastAsia"/>
          <w:b/>
          <w:bCs/>
          <w:highlight w:val="none"/>
          <w:lang w:val="en-US" w:eastAsia="zh-CN"/>
        </w:rPr>
      </w:pPr>
      <w:r>
        <w:rPr>
          <w:rFonts w:hint="eastAsia" w:ascii="仿宋_GB2312" w:hAnsi="仿宋_GB2312" w:eastAsia="仿宋_GB2312" w:cs="仿宋_GB2312"/>
          <w:b/>
          <w:bCs/>
          <w:color w:val="auto"/>
          <w:sz w:val="32"/>
          <w:szCs w:val="32"/>
          <w:highlight w:val="none"/>
          <w:lang w:val="en-US" w:eastAsia="zh-CN"/>
        </w:rPr>
        <w:t>1.董事</w:t>
      </w:r>
    </w:p>
    <w:tbl>
      <w:tblPr>
        <w:tblStyle w:val="14"/>
        <w:tblW w:w="9202" w:type="dxa"/>
        <w:jc w:val="center"/>
        <w:tblInd w:w="0" w:type="dxa"/>
        <w:tblLayout w:type="fixed"/>
        <w:tblCellMar>
          <w:top w:w="0" w:type="dxa"/>
          <w:left w:w="108" w:type="dxa"/>
          <w:bottom w:w="0" w:type="dxa"/>
          <w:right w:w="108" w:type="dxa"/>
        </w:tblCellMar>
      </w:tblPr>
      <w:tblGrid>
        <w:gridCol w:w="593"/>
        <w:gridCol w:w="1620"/>
        <w:gridCol w:w="900"/>
        <w:gridCol w:w="1619"/>
        <w:gridCol w:w="4470"/>
      </w:tblGrid>
      <w:tr>
        <w:tblPrEx>
          <w:tblLayout w:type="fixed"/>
          <w:tblCellMar>
            <w:top w:w="0" w:type="dxa"/>
            <w:left w:w="108" w:type="dxa"/>
            <w:bottom w:w="0" w:type="dxa"/>
            <w:right w:w="108" w:type="dxa"/>
          </w:tblCellMar>
        </w:tblPrEx>
        <w:trPr>
          <w:trHeight w:val="748"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序</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rPr>
              <w:t>号</w:t>
            </w:r>
          </w:p>
        </w:tc>
        <w:tc>
          <w:tcPr>
            <w:tcW w:w="1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姓</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rPr>
              <w:t>名</w:t>
            </w:r>
          </w:p>
        </w:tc>
        <w:tc>
          <w:tcPr>
            <w:tcW w:w="9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性</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rPr>
              <w:t>别</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职</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rPr>
              <w:t>务</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简历</w:t>
            </w:r>
          </w:p>
        </w:tc>
      </w:tr>
      <w:tr>
        <w:tblPrEx>
          <w:tblLayout w:type="fixed"/>
          <w:tblCellMar>
            <w:top w:w="0" w:type="dxa"/>
            <w:left w:w="108" w:type="dxa"/>
            <w:bottom w:w="0" w:type="dxa"/>
            <w:right w:w="108" w:type="dxa"/>
          </w:tblCellMar>
        </w:tblPrEx>
        <w:trPr>
          <w:trHeight w:val="1350" w:hRule="atLeast"/>
          <w:jc w:val="center"/>
        </w:trPr>
        <w:tc>
          <w:tcPr>
            <w:tcW w:w="593"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1</w:t>
            </w:r>
          </w:p>
        </w:tc>
        <w:tc>
          <w:tcPr>
            <w:tcW w:w="1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曾海金</w:t>
            </w:r>
          </w:p>
        </w:tc>
        <w:tc>
          <w:tcPr>
            <w:tcW w:w="90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 xml:space="preserve">男 </w:t>
            </w:r>
          </w:p>
        </w:tc>
        <w:tc>
          <w:tcPr>
            <w:tcW w:w="16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董事</w:t>
            </w:r>
          </w:p>
        </w:tc>
        <w:tc>
          <w:tcPr>
            <w:tcW w:w="447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rPr>
            </w:pPr>
            <w:r>
              <w:rPr>
                <w:rFonts w:hint="eastAsia" w:ascii="仿宋_GB2312" w:hAnsi="宋体" w:eastAsia="仿宋_GB2312" w:cs="仿宋_GB2312"/>
                <w:i w:val="0"/>
                <w:color w:val="auto"/>
                <w:kern w:val="0"/>
                <w:sz w:val="24"/>
                <w:szCs w:val="24"/>
                <w:highlight w:val="none"/>
                <w:u w:val="none"/>
                <w:lang w:val="en-US" w:eastAsia="zh-CN" w:bidi="ar"/>
              </w:rPr>
              <w:t>汉族，江西兴国人，1976年9月出生，中共党员，本科学历，助理经济师职称，1997年8月参加工作，现任寻乌农商银行董事。</w:t>
            </w:r>
          </w:p>
        </w:tc>
      </w:tr>
      <w:tr>
        <w:tblPrEx>
          <w:tblLayout w:type="fixed"/>
          <w:tblCellMar>
            <w:top w:w="0" w:type="dxa"/>
            <w:left w:w="108" w:type="dxa"/>
            <w:bottom w:w="0" w:type="dxa"/>
            <w:right w:w="108" w:type="dxa"/>
          </w:tblCellMar>
        </w:tblPrEx>
        <w:trPr>
          <w:trHeight w:val="90"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潘其森</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 xml:space="preserve">男 </w:t>
            </w:r>
          </w:p>
        </w:tc>
        <w:tc>
          <w:tcPr>
            <w:tcW w:w="16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职工董事</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highlight w:val="none"/>
                <w:lang w:val="en-US" w:eastAsia="zh-CN"/>
              </w:rPr>
            </w:pPr>
            <w:r>
              <w:rPr>
                <w:rFonts w:hint="eastAsia" w:ascii="仿宋_GB2312" w:hAnsi="宋体" w:eastAsia="仿宋_GB2312" w:cs="仿宋_GB2312"/>
                <w:i w:val="0"/>
                <w:color w:val="auto"/>
                <w:kern w:val="0"/>
                <w:sz w:val="24"/>
                <w:szCs w:val="24"/>
                <w:highlight w:val="none"/>
                <w:u w:val="none"/>
                <w:lang w:val="en-US" w:eastAsia="zh-CN" w:bidi="ar"/>
              </w:rPr>
              <w:t>汉族，江西寻乌人，1972年10月出生，中共党员，本科学历，助理会计师职称，1995年8月参加工作，现任寻乌农商银行资深专员。</w:t>
            </w:r>
          </w:p>
        </w:tc>
      </w:tr>
      <w:tr>
        <w:tblPrEx>
          <w:tblLayout w:type="fixed"/>
          <w:tblCellMar>
            <w:top w:w="0" w:type="dxa"/>
            <w:left w:w="108" w:type="dxa"/>
            <w:bottom w:w="0" w:type="dxa"/>
            <w:right w:w="108" w:type="dxa"/>
          </w:tblCellMar>
        </w:tblPrEx>
        <w:trPr>
          <w:trHeight w:val="389"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3</w:t>
            </w:r>
          </w:p>
        </w:tc>
        <w:tc>
          <w:tcPr>
            <w:tcW w:w="1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谢珍祥</w:t>
            </w:r>
          </w:p>
        </w:tc>
        <w:tc>
          <w:tcPr>
            <w:tcW w:w="90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独立董事</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 w:eastAsia="仿宋_GB2312"/>
                <w:color w:val="auto"/>
                <w:sz w:val="24"/>
                <w:szCs w:val="24"/>
                <w:highlight w:val="none"/>
                <w:lang w:eastAsia="zh-CN"/>
              </w:rPr>
            </w:pPr>
            <w:r>
              <w:rPr>
                <w:rFonts w:hint="eastAsia" w:ascii="仿宋_GB2312" w:hAnsi="宋体" w:eastAsia="仿宋_GB2312" w:cs="仿宋_GB2312"/>
                <w:i w:val="0"/>
                <w:color w:val="auto"/>
                <w:kern w:val="0"/>
                <w:sz w:val="24"/>
                <w:szCs w:val="24"/>
                <w:highlight w:val="none"/>
                <w:u w:val="none"/>
                <w:lang w:val="en-US" w:eastAsia="zh-CN" w:bidi="ar"/>
              </w:rPr>
              <w:t>汉族，江西寻乌人，1974年11月出生，本科学历，2007年5月参加工作。2007年5月至2016年11月，任江西寻信律师事务所专职律师；2016年12月至今任江西神光律师事务所主任。</w:t>
            </w:r>
          </w:p>
        </w:tc>
      </w:tr>
      <w:tr>
        <w:tblPrEx>
          <w:tblLayout w:type="fixed"/>
          <w:tblCellMar>
            <w:top w:w="0" w:type="dxa"/>
            <w:left w:w="108" w:type="dxa"/>
            <w:bottom w:w="0" w:type="dxa"/>
            <w:right w:w="108" w:type="dxa"/>
          </w:tblCellMar>
        </w:tblPrEx>
        <w:trPr>
          <w:trHeight w:val="2269" w:hRule="atLeast"/>
          <w:jc w:val="center"/>
        </w:trPr>
        <w:tc>
          <w:tcPr>
            <w:tcW w:w="593"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4</w:t>
            </w:r>
          </w:p>
        </w:tc>
        <w:tc>
          <w:tcPr>
            <w:tcW w:w="1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吴春燕</w:t>
            </w:r>
          </w:p>
        </w:tc>
        <w:tc>
          <w:tcPr>
            <w:tcW w:w="90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p>
        </w:tc>
        <w:tc>
          <w:tcPr>
            <w:tcW w:w="16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独立董事</w:t>
            </w:r>
          </w:p>
        </w:tc>
        <w:tc>
          <w:tcPr>
            <w:tcW w:w="4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 w:eastAsia="仿宋_GB2312"/>
                <w:color w:val="auto"/>
                <w:sz w:val="24"/>
                <w:szCs w:val="24"/>
                <w:highlight w:val="none"/>
                <w:lang w:eastAsia="zh-CN"/>
              </w:rPr>
            </w:pPr>
            <w:r>
              <w:rPr>
                <w:rFonts w:hint="eastAsia" w:ascii="仿宋_GB2312" w:hAnsi="宋体" w:eastAsia="仿宋_GB2312" w:cs="仿宋_GB2312"/>
                <w:i w:val="0"/>
                <w:color w:val="auto"/>
                <w:kern w:val="0"/>
                <w:sz w:val="24"/>
                <w:szCs w:val="24"/>
                <w:highlight w:val="none"/>
                <w:u w:val="none"/>
                <w:lang w:val="en-US" w:eastAsia="zh-CN" w:bidi="ar"/>
              </w:rPr>
              <w:t>汉族，江西新余人，1982年3月出生，本科学历，2004年10月参加工作。2011年12月至2017年1月，在江西南芳律师事务所担任律师；2017年2月至今，在江西同圆律师事务所任高级合伙人、监事会主任。</w:t>
            </w:r>
          </w:p>
        </w:tc>
      </w:tr>
      <w:tr>
        <w:tblPrEx>
          <w:tblLayout w:type="fixed"/>
          <w:tblCellMar>
            <w:top w:w="0" w:type="dxa"/>
            <w:left w:w="108" w:type="dxa"/>
            <w:bottom w:w="0" w:type="dxa"/>
            <w:right w:w="108" w:type="dxa"/>
          </w:tblCellMar>
        </w:tblPrEx>
        <w:trPr>
          <w:trHeight w:val="172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吴观林</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 xml:space="preserve">男 </w:t>
            </w:r>
          </w:p>
        </w:tc>
        <w:tc>
          <w:tcPr>
            <w:tcW w:w="16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股东董事</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宋体" w:eastAsia="仿宋_GB2312" w:cs="仿宋_GB2312"/>
                <w:i w:val="0"/>
                <w:color w:val="auto"/>
                <w:kern w:val="0"/>
                <w:sz w:val="24"/>
                <w:szCs w:val="24"/>
                <w:highlight w:val="none"/>
                <w:u w:val="none"/>
                <w:lang w:val="en-US" w:eastAsia="zh-CN" w:bidi="ar"/>
              </w:rPr>
              <w:t>汉族，江西于都人，1967年3月出生，中共党员，本科学历， 1989年3月参加工作，目前任于都农商银行副科级调研员。</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2.董事会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2024年度，本行</w:t>
      </w:r>
      <w:r>
        <w:rPr>
          <w:rFonts w:hint="eastAsia" w:ascii="仿宋_GB2312" w:hAnsi="仿宋_GB2312" w:eastAsia="仿宋_GB2312" w:cs="仿宋_GB2312"/>
          <w:color w:val="auto"/>
          <w:sz w:val="32"/>
          <w:szCs w:val="32"/>
          <w:highlight w:val="none"/>
        </w:rPr>
        <w:t>召开董事会</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次，每次董事会均有监事会成员列席，董事会下设的专门委员会均按要求召开会议，并研究落实相关工作，董事会能够按照章程</w:t>
      </w:r>
      <w:r>
        <w:rPr>
          <w:rFonts w:hint="eastAsia" w:ascii="仿宋_GB2312" w:hAnsi="仿宋_GB2312" w:eastAsia="仿宋_GB2312" w:cs="仿宋_GB2312"/>
          <w:color w:val="auto"/>
          <w:sz w:val="32"/>
          <w:szCs w:val="32"/>
          <w:highlight w:val="none"/>
          <w:lang w:eastAsia="zh-CN"/>
        </w:rPr>
        <w:t>和议事规则</w:t>
      </w:r>
      <w:r>
        <w:rPr>
          <w:rFonts w:hint="eastAsia" w:ascii="仿宋_GB2312" w:hAnsi="仿宋_GB2312" w:eastAsia="仿宋_GB2312" w:cs="仿宋_GB2312"/>
          <w:color w:val="auto"/>
          <w:sz w:val="32"/>
          <w:szCs w:val="32"/>
          <w:highlight w:val="none"/>
        </w:rPr>
        <w:t>规定，勤勉履职，认真执行股东大会决议。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3.独立董事履职情况</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报告期末，本行独立董事</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名。报告期内，独立董事能够按照法律、法规和本行章程的要求，忠实履行职责,参加股东会、董事会及专门委员会会议，维护本行和全体股东的权益。工作期间，独立董事能够独立履行职责，不受本行主要股东、实际控制人或者其他与本行存在利害关系的单位或个人的影响，发表独立意见，有效履行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rPr>
      </w:pPr>
      <w:r>
        <w:rPr>
          <w:rFonts w:hint="eastAsia" w:ascii="楷体" w:hAnsi="楷体" w:eastAsia="楷体" w:cs="楷体"/>
          <w:b/>
          <w:bCs/>
          <w:color w:val="auto"/>
          <w:kern w:val="0"/>
          <w:sz w:val="32"/>
          <w:szCs w:val="32"/>
          <w:highlight w:val="none"/>
          <w:lang w:eastAsia="zh-CN"/>
        </w:rPr>
        <w:t>（二）监事会的构成及其工作情况</w:t>
      </w:r>
    </w:p>
    <w:p>
      <w:pPr>
        <w:keepNext w:val="0"/>
        <w:keepLines w:val="0"/>
        <w:pageBreakBefore w:val="0"/>
        <w:kinsoku/>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监事会由5名监事组成，其中</w:t>
      </w:r>
      <w:r>
        <w:rPr>
          <w:rFonts w:hint="eastAsia" w:ascii="仿宋_GB2312" w:hAnsi="仿宋_GB2312" w:eastAsia="仿宋_GB2312" w:cs="仿宋_GB2312"/>
          <w:color w:val="auto"/>
          <w:sz w:val="32"/>
          <w:szCs w:val="32"/>
          <w:highlight w:val="none"/>
          <w:lang w:eastAsia="zh-CN"/>
        </w:rPr>
        <w:t>职</w:t>
      </w:r>
      <w:r>
        <w:rPr>
          <w:rFonts w:hint="eastAsia" w:ascii="仿宋_GB2312" w:hAnsi="仿宋_GB2312" w:eastAsia="仿宋_GB2312" w:cs="仿宋_GB2312"/>
          <w:color w:val="auto"/>
          <w:sz w:val="32"/>
          <w:szCs w:val="32"/>
          <w:highlight w:val="none"/>
        </w:rPr>
        <w:t>工监事</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外部监事2人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监事会能积极参政议政，认真履职，有效发挥了长效监督职能,从源头上成功防范了风险。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rPr>
        <w:t>监事</w:t>
      </w:r>
    </w:p>
    <w:tbl>
      <w:tblPr>
        <w:tblStyle w:val="14"/>
        <w:tblW w:w="9051" w:type="dxa"/>
        <w:jc w:val="center"/>
        <w:tblInd w:w="0" w:type="dxa"/>
        <w:tblLayout w:type="fixed"/>
        <w:tblCellMar>
          <w:top w:w="0" w:type="dxa"/>
          <w:left w:w="108" w:type="dxa"/>
          <w:bottom w:w="0" w:type="dxa"/>
          <w:right w:w="108" w:type="dxa"/>
        </w:tblCellMar>
      </w:tblPr>
      <w:tblGrid>
        <w:gridCol w:w="924"/>
        <w:gridCol w:w="1200"/>
        <w:gridCol w:w="1293"/>
        <w:gridCol w:w="1591"/>
        <w:gridCol w:w="4043"/>
      </w:tblGrid>
      <w:tr>
        <w:tblPrEx>
          <w:tblLayout w:type="fixed"/>
          <w:tblCellMar>
            <w:top w:w="0" w:type="dxa"/>
            <w:left w:w="108" w:type="dxa"/>
            <w:bottom w:w="0" w:type="dxa"/>
            <w:right w:w="108" w:type="dxa"/>
          </w:tblCellMar>
        </w:tblPrEx>
        <w:trPr>
          <w:trHeight w:val="658"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序号</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姓名</w:t>
            </w:r>
          </w:p>
        </w:tc>
        <w:tc>
          <w:tcPr>
            <w:tcW w:w="12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性别</w:t>
            </w:r>
          </w:p>
        </w:tc>
        <w:tc>
          <w:tcPr>
            <w:tcW w:w="15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职务</w:t>
            </w:r>
          </w:p>
        </w:tc>
        <w:tc>
          <w:tcPr>
            <w:tcW w:w="4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eastAsia="zh-CN"/>
              </w:rPr>
              <w:t>简历</w:t>
            </w:r>
          </w:p>
        </w:tc>
      </w:tr>
      <w:tr>
        <w:tblPrEx>
          <w:tblLayout w:type="fixed"/>
          <w:tblCellMar>
            <w:top w:w="0" w:type="dxa"/>
            <w:left w:w="108" w:type="dxa"/>
            <w:bottom w:w="0" w:type="dxa"/>
            <w:right w:w="108" w:type="dxa"/>
          </w:tblCellMar>
        </w:tblPrEx>
        <w:trPr>
          <w:trHeight w:val="1474"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罗忠钦</w:t>
            </w:r>
          </w:p>
        </w:tc>
        <w:tc>
          <w:tcPr>
            <w:tcW w:w="12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男</w:t>
            </w:r>
          </w:p>
        </w:tc>
        <w:tc>
          <w:tcPr>
            <w:tcW w:w="15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监事长</w:t>
            </w:r>
          </w:p>
        </w:tc>
        <w:tc>
          <w:tcPr>
            <w:tcW w:w="4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宋体" w:eastAsia="仿宋_GB2312" w:cs="仿宋_GB2312"/>
                <w:i w:val="0"/>
                <w:color w:val="auto"/>
                <w:kern w:val="0"/>
                <w:sz w:val="24"/>
                <w:szCs w:val="24"/>
                <w:highlight w:val="none"/>
                <w:u w:val="none"/>
                <w:lang w:val="en-US" w:eastAsia="zh-CN" w:bidi="ar"/>
              </w:rPr>
              <w:t>汉族，江西南康人，1983年6月出生，中共党员，研究生学历，助理经济师职称，2005年7月参加工作，现任寻乌农商银行党委委员、纪委书记、监事长。</w:t>
            </w:r>
          </w:p>
        </w:tc>
      </w:tr>
      <w:tr>
        <w:tblPrEx>
          <w:tblLayout w:type="fixed"/>
          <w:tblCellMar>
            <w:top w:w="0" w:type="dxa"/>
            <w:left w:w="108" w:type="dxa"/>
            <w:bottom w:w="0" w:type="dxa"/>
            <w:right w:w="108" w:type="dxa"/>
          </w:tblCellMar>
        </w:tblPrEx>
        <w:trPr>
          <w:trHeight w:val="90"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严艳娟</w:t>
            </w:r>
          </w:p>
        </w:tc>
        <w:tc>
          <w:tcPr>
            <w:tcW w:w="12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女</w:t>
            </w:r>
          </w:p>
        </w:tc>
        <w:tc>
          <w:tcPr>
            <w:tcW w:w="15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职工监事</w:t>
            </w:r>
          </w:p>
        </w:tc>
        <w:tc>
          <w:tcPr>
            <w:tcW w:w="4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宋体" w:eastAsia="仿宋_GB2312" w:cs="仿宋_GB2312"/>
                <w:i w:val="0"/>
                <w:color w:val="auto"/>
                <w:kern w:val="0"/>
                <w:sz w:val="24"/>
                <w:szCs w:val="24"/>
                <w:highlight w:val="none"/>
                <w:u w:val="none"/>
                <w:lang w:val="en-US" w:eastAsia="zh-CN" w:bidi="ar"/>
              </w:rPr>
              <w:t>汉族，江西寻乌人，1988年6月出生，中共党员，大专学历，2012年4月参加工作，现任寻乌农商银行党风行风监督室副主任。</w:t>
            </w:r>
          </w:p>
        </w:tc>
      </w:tr>
      <w:tr>
        <w:tblPrEx>
          <w:tblLayout w:type="fixed"/>
          <w:tblCellMar>
            <w:top w:w="0" w:type="dxa"/>
            <w:left w:w="108" w:type="dxa"/>
            <w:bottom w:w="0" w:type="dxa"/>
            <w:right w:w="108" w:type="dxa"/>
          </w:tblCellMar>
        </w:tblPrEx>
        <w:trPr>
          <w:trHeight w:val="660"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陈志凌</w:t>
            </w:r>
          </w:p>
        </w:tc>
        <w:tc>
          <w:tcPr>
            <w:tcW w:w="12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男</w:t>
            </w:r>
          </w:p>
        </w:tc>
        <w:tc>
          <w:tcPr>
            <w:tcW w:w="15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eastAsia="仿宋_GB2312"/>
                <w:bCs/>
                <w:sz w:val="24"/>
                <w:highlight w:val="none"/>
                <w:lang w:val="en-US" w:eastAsia="zh-CN"/>
              </w:rPr>
              <w:t>股东监事</w:t>
            </w:r>
          </w:p>
        </w:tc>
        <w:tc>
          <w:tcPr>
            <w:tcW w:w="404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eastAsia="仿宋_GB2312"/>
                <w:color w:val="auto"/>
                <w:sz w:val="24"/>
                <w:szCs w:val="24"/>
                <w:highlight w:val="none"/>
                <w:lang w:eastAsia="zh-CN"/>
              </w:rPr>
            </w:pPr>
            <w:r>
              <w:rPr>
                <w:rFonts w:hint="eastAsia" w:eastAsia="仿宋_GB2312"/>
                <w:sz w:val="24"/>
                <w:szCs w:val="21"/>
                <w:highlight w:val="none"/>
              </w:rPr>
              <w:t>汉族，江西</w:t>
            </w:r>
            <w:r>
              <w:rPr>
                <w:rFonts w:hint="eastAsia" w:ascii="仿宋_GB2312" w:eastAsia="仿宋_GB2312"/>
                <w:bCs/>
                <w:sz w:val="24"/>
                <w:highlight w:val="none"/>
                <w:lang w:val="en-US" w:eastAsia="zh-CN"/>
              </w:rPr>
              <w:t>石城</w:t>
            </w:r>
            <w:r>
              <w:rPr>
                <w:rFonts w:hint="eastAsia" w:eastAsia="仿宋_GB2312"/>
                <w:sz w:val="24"/>
                <w:szCs w:val="21"/>
                <w:highlight w:val="none"/>
              </w:rPr>
              <w:t>人</w:t>
            </w:r>
            <w:r>
              <w:rPr>
                <w:rFonts w:hint="eastAsia" w:ascii="仿宋_GB2312" w:hAnsi="宋体" w:eastAsia="仿宋_GB2312" w:cs="仿宋_GB2312"/>
                <w:i w:val="0"/>
                <w:color w:val="auto"/>
                <w:kern w:val="0"/>
                <w:sz w:val="24"/>
                <w:szCs w:val="24"/>
                <w:highlight w:val="none"/>
                <w:u w:val="none"/>
                <w:lang w:val="en-US" w:eastAsia="zh-CN" w:bidi="ar"/>
              </w:rPr>
              <w:t>，1985年1月</w:t>
            </w:r>
            <w:r>
              <w:rPr>
                <w:rFonts w:hint="eastAsia" w:eastAsia="仿宋_GB2312"/>
                <w:sz w:val="24"/>
                <w:szCs w:val="21"/>
                <w:highlight w:val="none"/>
                <w:lang w:eastAsia="zh-CN"/>
              </w:rPr>
              <w:t>出生，中共党员，</w:t>
            </w:r>
            <w:r>
              <w:rPr>
                <w:rFonts w:hint="eastAsia" w:ascii="仿宋_GB2312" w:eastAsia="仿宋_GB2312"/>
                <w:bCs/>
                <w:sz w:val="24"/>
                <w:highlight w:val="none"/>
                <w:lang w:val="en-US" w:eastAsia="zh-CN"/>
              </w:rPr>
              <w:t>学士学位，助理经济师职称，2007年3月参加工作</w:t>
            </w:r>
            <w:r>
              <w:rPr>
                <w:rFonts w:hint="eastAsia" w:ascii="仿宋_GB2312" w:hAnsi="宋体" w:eastAsia="仿宋_GB2312" w:cs="仿宋_GB2312"/>
                <w:i w:val="0"/>
                <w:color w:val="auto"/>
                <w:kern w:val="0"/>
                <w:sz w:val="24"/>
                <w:szCs w:val="24"/>
                <w:highlight w:val="none"/>
                <w:u w:val="none"/>
                <w:lang w:val="en-US" w:eastAsia="zh-CN" w:bidi="ar"/>
              </w:rPr>
              <w:t>，现任兴国农商银行党委委员、纪委书记、监事长</w:t>
            </w:r>
            <w:r>
              <w:rPr>
                <w:rFonts w:hint="eastAsia" w:ascii="仿宋_GB2312" w:eastAsia="仿宋_GB2312"/>
                <w:bCs/>
                <w:sz w:val="24"/>
                <w:highlight w:val="none"/>
                <w:lang w:val="en-US" w:eastAsia="zh-CN"/>
              </w:rPr>
              <w:t>。</w:t>
            </w:r>
          </w:p>
        </w:tc>
      </w:tr>
      <w:tr>
        <w:tblPrEx>
          <w:tblLayout w:type="fixed"/>
          <w:tblCellMar>
            <w:top w:w="0" w:type="dxa"/>
            <w:left w:w="108" w:type="dxa"/>
            <w:bottom w:w="0" w:type="dxa"/>
            <w:right w:w="108" w:type="dxa"/>
          </w:tblCellMar>
        </w:tblPrEx>
        <w:trPr>
          <w:trHeight w:val="1190"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曾令达</w:t>
            </w:r>
          </w:p>
        </w:tc>
        <w:tc>
          <w:tcPr>
            <w:tcW w:w="12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男</w:t>
            </w:r>
          </w:p>
        </w:tc>
        <w:tc>
          <w:tcPr>
            <w:tcW w:w="15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default" w:ascii="仿宋_GB2312" w:hAnsi="仿宋_GB2312" w:eastAsia="仿宋_GB2312" w:cs="仿宋_GB2312"/>
                <w:color w:val="auto"/>
                <w:kern w:val="0"/>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外部监事</w:t>
            </w:r>
          </w:p>
        </w:tc>
        <w:tc>
          <w:tcPr>
            <w:tcW w:w="404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eastAsia="仿宋_GB2312"/>
                <w:sz w:val="24"/>
                <w:szCs w:val="21"/>
                <w:highlight w:val="none"/>
                <w:lang w:eastAsia="zh-CN"/>
              </w:rPr>
            </w:pPr>
            <w:r>
              <w:rPr>
                <w:rFonts w:hint="eastAsia" w:eastAsia="仿宋_GB2312"/>
                <w:sz w:val="24"/>
                <w:szCs w:val="21"/>
                <w:highlight w:val="none"/>
              </w:rPr>
              <w:t>汉族，江西寻乌人</w:t>
            </w:r>
            <w:r>
              <w:rPr>
                <w:rFonts w:hint="eastAsia" w:ascii="仿宋_GB2312" w:eastAsia="仿宋_GB2312"/>
                <w:bCs/>
                <w:sz w:val="24"/>
                <w:highlight w:val="none"/>
                <w:lang w:val="en-US" w:eastAsia="zh-CN"/>
              </w:rPr>
              <w:t>，1962年8月出生，中共党员，本科学历，2009年12</w:t>
            </w:r>
            <w:r>
              <w:rPr>
                <w:rFonts w:hint="eastAsia" w:eastAsia="仿宋_GB2312"/>
                <w:sz w:val="24"/>
                <w:szCs w:val="21"/>
                <w:highlight w:val="none"/>
                <w:lang w:val="en-US" w:eastAsia="zh-CN"/>
              </w:rPr>
              <w:t>月</w:t>
            </w:r>
            <w:r>
              <w:rPr>
                <w:rFonts w:hint="eastAsia" w:eastAsia="仿宋_GB2312"/>
                <w:sz w:val="24"/>
                <w:szCs w:val="21"/>
                <w:highlight w:val="none"/>
              </w:rPr>
              <w:t>至今，在</w:t>
            </w:r>
            <w:r>
              <w:rPr>
                <w:rFonts w:hint="eastAsia" w:eastAsia="仿宋_GB2312"/>
                <w:sz w:val="24"/>
                <w:szCs w:val="21"/>
                <w:highlight w:val="none"/>
                <w:lang w:eastAsia="zh-CN"/>
              </w:rPr>
              <w:t>江西寻信律师事务所工作</w:t>
            </w:r>
            <w:r>
              <w:rPr>
                <w:rFonts w:hint="eastAsia" w:eastAsia="仿宋_GB2312"/>
                <w:sz w:val="24"/>
                <w:szCs w:val="21"/>
                <w:highlight w:val="none"/>
              </w:rPr>
              <w:t>。</w:t>
            </w:r>
          </w:p>
        </w:tc>
      </w:tr>
      <w:tr>
        <w:tblPrEx>
          <w:tblLayout w:type="fixed"/>
          <w:tblCellMar>
            <w:top w:w="0" w:type="dxa"/>
            <w:left w:w="108" w:type="dxa"/>
            <w:bottom w:w="0" w:type="dxa"/>
            <w:right w:w="108" w:type="dxa"/>
          </w:tblCellMar>
        </w:tblPrEx>
        <w:trPr>
          <w:trHeight w:val="1523" w:hRule="atLeast"/>
          <w:jc w:val="center"/>
        </w:trPr>
        <w:tc>
          <w:tcPr>
            <w:tcW w:w="92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刘海珊</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女</w:t>
            </w:r>
          </w:p>
        </w:tc>
        <w:tc>
          <w:tcPr>
            <w:tcW w:w="15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外部监事</w:t>
            </w:r>
          </w:p>
        </w:tc>
        <w:tc>
          <w:tcPr>
            <w:tcW w:w="4043"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eastAsia="仿宋_GB2312"/>
                <w:sz w:val="24"/>
                <w:szCs w:val="21"/>
                <w:highlight w:val="none"/>
                <w:lang w:eastAsia="zh-CN"/>
              </w:rPr>
            </w:pPr>
            <w:r>
              <w:rPr>
                <w:rFonts w:hint="eastAsia" w:eastAsia="仿宋_GB2312"/>
                <w:sz w:val="24"/>
                <w:szCs w:val="21"/>
                <w:highlight w:val="none"/>
              </w:rPr>
              <w:t>汉族，江西寻乌人，</w:t>
            </w:r>
            <w:r>
              <w:rPr>
                <w:rFonts w:hint="eastAsia" w:ascii="仿宋_GB2312" w:eastAsia="仿宋_GB2312"/>
                <w:bCs/>
                <w:sz w:val="24"/>
                <w:highlight w:val="none"/>
                <w:lang w:val="en-US" w:eastAsia="zh-CN"/>
              </w:rPr>
              <w:t>1971年5月出生，中共党员，大专学历，2018年3</w:t>
            </w:r>
            <w:r>
              <w:rPr>
                <w:rFonts w:hint="eastAsia" w:eastAsia="仿宋_GB2312"/>
                <w:sz w:val="24"/>
                <w:szCs w:val="21"/>
                <w:highlight w:val="none"/>
              </w:rPr>
              <w:t>月至</w:t>
            </w:r>
            <w:r>
              <w:rPr>
                <w:rFonts w:hint="eastAsia" w:eastAsia="仿宋_GB2312"/>
                <w:sz w:val="24"/>
                <w:szCs w:val="21"/>
                <w:highlight w:val="none"/>
                <w:lang w:eastAsia="zh-CN"/>
              </w:rPr>
              <w:t>今</w:t>
            </w:r>
            <w:r>
              <w:rPr>
                <w:rFonts w:hint="eastAsia" w:eastAsia="仿宋_GB2312"/>
                <w:sz w:val="24"/>
                <w:szCs w:val="21"/>
                <w:highlight w:val="none"/>
              </w:rPr>
              <w:t>，</w:t>
            </w:r>
            <w:r>
              <w:rPr>
                <w:rFonts w:hint="eastAsia" w:eastAsia="仿宋_GB2312"/>
                <w:sz w:val="24"/>
                <w:szCs w:val="21"/>
                <w:highlight w:val="none"/>
                <w:lang w:eastAsia="zh-CN"/>
              </w:rPr>
              <w:t>在寻乌正信财务咨询有限公司工作。</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2.监事会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共召开监事会</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次，监事会下设专门委员会均按要求召开会议。监事会本着对股东高度负责的态度，按照商业银行的管理标准，对董事会和高级管理层及其成员的履职尽责情况、财务活动、内部控制、风险管理等进行监督，维护股东的合法权益和存款人利益。</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3.外部监事履职情况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auto"/>
          <w:kern w:val="0"/>
          <w:sz w:val="32"/>
          <w:szCs w:val="32"/>
          <w:highlight w:val="none"/>
          <w:lang w:eastAsia="zh-CN"/>
        </w:rPr>
      </w:pPr>
      <w:r>
        <w:rPr>
          <w:rFonts w:hint="eastAsia" w:ascii="仿宋_GB2312" w:hAnsi="仿宋_GB2312" w:eastAsia="仿宋_GB2312" w:cs="仿宋_GB2312"/>
          <w:color w:val="auto"/>
          <w:sz w:val="32"/>
          <w:szCs w:val="32"/>
          <w:highlight w:val="none"/>
        </w:rPr>
        <w:t>报告期内，</w:t>
      </w:r>
      <w:r>
        <w:rPr>
          <w:rFonts w:hint="eastAsia" w:ascii="仿宋_GB2312" w:hAnsi="仿宋_GB2312" w:eastAsia="仿宋_GB2312" w:cs="仿宋_GB2312"/>
          <w:color w:val="auto"/>
          <w:sz w:val="32"/>
          <w:szCs w:val="32"/>
          <w:highlight w:val="none"/>
          <w:lang w:eastAsia="zh-CN"/>
        </w:rPr>
        <w:t>外部监事</w:t>
      </w:r>
      <w:r>
        <w:rPr>
          <w:rFonts w:hint="eastAsia" w:ascii="仿宋_GB2312" w:hAnsi="仿宋_GB2312" w:eastAsia="仿宋_GB2312" w:cs="仿宋_GB2312"/>
          <w:color w:val="auto"/>
          <w:sz w:val="32"/>
          <w:szCs w:val="32"/>
          <w:highlight w:val="none"/>
        </w:rPr>
        <w:t>能够按照法律、法规和本行章程的要求，</w:t>
      </w:r>
      <w:r>
        <w:rPr>
          <w:rFonts w:hint="eastAsia" w:ascii="仿宋_GB2312" w:hAnsi="仿宋_GB2312" w:eastAsia="仿宋_GB2312" w:cs="仿宋_GB2312"/>
          <w:bCs/>
          <w:sz w:val="32"/>
          <w:szCs w:val="32"/>
          <w:highlight w:val="none"/>
        </w:rPr>
        <w:t>能认真、勤勉履行公司章程赋予的监督职责，</w:t>
      </w:r>
      <w:r>
        <w:rPr>
          <w:rFonts w:hint="eastAsia" w:ascii="仿宋_GB2312" w:hAnsi="仿宋_GB2312" w:eastAsia="仿宋_GB2312" w:cs="仿宋_GB2312"/>
          <w:color w:val="auto"/>
          <w:sz w:val="32"/>
          <w:szCs w:val="32"/>
          <w:highlight w:val="none"/>
        </w:rPr>
        <w:t>参加股东会、专门委员会会议</w:t>
      </w:r>
      <w:r>
        <w:rPr>
          <w:rFonts w:hint="eastAsia" w:ascii="仿宋_GB2312" w:hAnsi="仿宋_GB2312" w:eastAsia="仿宋_GB2312" w:cs="仿宋_GB2312"/>
          <w:color w:val="auto"/>
          <w:sz w:val="32"/>
          <w:szCs w:val="32"/>
          <w:highlight w:val="none"/>
          <w:lang w:eastAsia="zh-CN"/>
        </w:rPr>
        <w:t>以及列席董事会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sz w:val="32"/>
          <w:szCs w:val="32"/>
          <w:highlight w:val="none"/>
        </w:rPr>
        <w:t>对职责范围内的事项做出独立、专业、客观的判断。</w:t>
      </w:r>
      <w:r>
        <w:rPr>
          <w:rFonts w:hint="eastAsia" w:ascii="仿宋_GB2312" w:hAnsi="仿宋_GB2312" w:eastAsia="仿宋_GB2312" w:cs="仿宋_GB2312"/>
          <w:color w:val="auto"/>
          <w:sz w:val="32"/>
          <w:szCs w:val="32"/>
          <w:highlight w:val="none"/>
        </w:rPr>
        <w:t>工作期间，</w:t>
      </w:r>
      <w:r>
        <w:rPr>
          <w:rFonts w:hint="eastAsia" w:ascii="仿宋_GB2312" w:hAnsi="仿宋_GB2312" w:eastAsia="仿宋_GB2312" w:cs="仿宋_GB2312"/>
          <w:color w:val="auto"/>
          <w:sz w:val="32"/>
          <w:szCs w:val="32"/>
          <w:highlight w:val="none"/>
          <w:lang w:eastAsia="zh-CN"/>
        </w:rPr>
        <w:t>外部监事</w:t>
      </w:r>
      <w:r>
        <w:rPr>
          <w:rFonts w:hint="eastAsia" w:ascii="仿宋_GB2312" w:hAnsi="仿宋_GB2312" w:eastAsia="仿宋_GB2312" w:cs="仿宋_GB2312"/>
          <w:color w:val="auto"/>
          <w:sz w:val="32"/>
          <w:szCs w:val="32"/>
          <w:highlight w:val="none"/>
        </w:rPr>
        <w:t>能够独立履行职责，</w:t>
      </w:r>
      <w:r>
        <w:rPr>
          <w:rFonts w:hint="eastAsia" w:ascii="仿宋_GB2312" w:hAnsi="仿宋_GB2312" w:eastAsia="仿宋_GB2312" w:cs="仿宋_GB2312"/>
          <w:color w:val="auto"/>
          <w:sz w:val="32"/>
          <w:szCs w:val="32"/>
          <w:highlight w:val="none"/>
          <w:lang w:eastAsia="zh-CN"/>
        </w:rPr>
        <w:t>守法合规、履职尽责，外部监事能够按要求出席会议，</w:t>
      </w:r>
      <w:r>
        <w:rPr>
          <w:rFonts w:hint="eastAsia" w:ascii="仿宋_GB2312" w:hAnsi="仿宋_GB2312" w:eastAsia="仿宋_GB2312" w:cs="仿宋_GB2312"/>
          <w:color w:val="auto"/>
          <w:sz w:val="32"/>
          <w:szCs w:val="32"/>
          <w:highlight w:val="none"/>
        </w:rPr>
        <w:t>不受本行主要股东、实际控制人或者其他与本行存在利害关系的单位或个人的影响，发表独立意见，有效履行职责。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lang w:eastAsia="zh-CN"/>
        </w:rPr>
        <w:t>（三）高级管理层成员构成及其基本情况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本行高级管理层由总行行长、副行长及监管部门认定的其他高级管理人员组成。高级管理层严格执行股东大会、董事会决议，认真执行年度预算，圆满完成年度经营目标。</w:t>
      </w:r>
    </w:p>
    <w:p>
      <w:pPr>
        <w:pStyle w:val="2"/>
        <w:rPr>
          <w:rFonts w:hint="eastAsia"/>
          <w:highlight w:val="none"/>
        </w:rPr>
      </w:pPr>
    </w:p>
    <w:tbl>
      <w:tblPr>
        <w:tblStyle w:val="14"/>
        <w:tblW w:w="9016" w:type="dxa"/>
        <w:jc w:val="center"/>
        <w:tblInd w:w="0" w:type="dxa"/>
        <w:tblLayout w:type="fixed"/>
        <w:tblCellMar>
          <w:top w:w="0" w:type="dxa"/>
          <w:left w:w="108" w:type="dxa"/>
          <w:bottom w:w="0" w:type="dxa"/>
          <w:right w:w="108" w:type="dxa"/>
        </w:tblCellMar>
      </w:tblPr>
      <w:tblGrid>
        <w:gridCol w:w="910"/>
        <w:gridCol w:w="1233"/>
        <w:gridCol w:w="983"/>
        <w:gridCol w:w="1917"/>
        <w:gridCol w:w="3973"/>
      </w:tblGrid>
      <w:tr>
        <w:tblPrEx>
          <w:tblLayout w:type="fixed"/>
          <w:tblCellMar>
            <w:top w:w="0" w:type="dxa"/>
            <w:left w:w="108" w:type="dxa"/>
            <w:bottom w:w="0" w:type="dxa"/>
            <w:right w:w="108" w:type="dxa"/>
          </w:tblCellMar>
        </w:tblPrEx>
        <w:trPr>
          <w:trHeight w:val="597"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line="560" w:lineRule="exact"/>
              <w:ind w:right="0"/>
              <w:jc w:val="center"/>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序号</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bidi w:val="0"/>
              <w:spacing w:line="560" w:lineRule="exact"/>
              <w:ind w:right="0"/>
              <w:jc w:val="both"/>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姓</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rPr>
              <w:t>名</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bidi w:val="0"/>
              <w:spacing w:line="560" w:lineRule="exact"/>
              <w:ind w:right="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性别</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bidi w:val="0"/>
              <w:spacing w:line="560" w:lineRule="exact"/>
              <w:ind w:right="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职</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rPr>
              <w:t>务</w:t>
            </w:r>
          </w:p>
        </w:tc>
        <w:tc>
          <w:tcPr>
            <w:tcW w:w="3973"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overflowPunct/>
              <w:topLinePunct w:val="0"/>
              <w:bidi w:val="0"/>
              <w:spacing w:line="560" w:lineRule="exact"/>
              <w:ind w:right="0" w:firstLine="1285" w:firstLineChars="400"/>
              <w:jc w:val="both"/>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从业年限</w:t>
            </w:r>
          </w:p>
        </w:tc>
      </w:tr>
      <w:tr>
        <w:tblPrEx>
          <w:tblLayout w:type="fixed"/>
          <w:tblCellMar>
            <w:top w:w="0" w:type="dxa"/>
            <w:left w:w="108" w:type="dxa"/>
            <w:bottom w:w="0" w:type="dxa"/>
            <w:right w:w="108" w:type="dxa"/>
          </w:tblCellMar>
        </w:tblPrEx>
        <w:trPr>
          <w:trHeight w:val="1787" w:hRule="atLeast"/>
          <w:jc w:val="center"/>
        </w:trPr>
        <w:tc>
          <w:tcPr>
            <w:tcW w:w="9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12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firstLine="0" w:firstLineChars="0"/>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赵宽</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男</w:t>
            </w:r>
          </w:p>
        </w:tc>
        <w:tc>
          <w:tcPr>
            <w:tcW w:w="19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党委委员、提名行长人选</w:t>
            </w:r>
          </w:p>
        </w:tc>
        <w:tc>
          <w:tcPr>
            <w:tcW w:w="3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eastAsia="仿宋_GB2312"/>
                <w:sz w:val="24"/>
                <w:szCs w:val="21"/>
                <w:highlight w:val="none"/>
                <w:lang w:val="en-US" w:eastAsia="zh-CN"/>
              </w:rPr>
              <w:t>汉族，江西寻乌人，1987年8月出生，大学本科学历，中共党员，2010年7月参加农商银行工作，从事金融工作年限15年。</w:t>
            </w:r>
          </w:p>
        </w:tc>
      </w:tr>
      <w:tr>
        <w:tblPrEx>
          <w:tblLayout w:type="fixed"/>
          <w:tblCellMar>
            <w:top w:w="0" w:type="dxa"/>
            <w:left w:w="108" w:type="dxa"/>
            <w:bottom w:w="0" w:type="dxa"/>
            <w:right w:w="108" w:type="dxa"/>
          </w:tblCellMar>
        </w:tblPrEx>
        <w:trPr>
          <w:trHeight w:val="1740"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赖建平</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男</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党委委员、副行长</w:t>
            </w:r>
          </w:p>
        </w:tc>
        <w:tc>
          <w:tcPr>
            <w:tcW w:w="397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eastAsia="仿宋_GB2312"/>
                <w:sz w:val="24"/>
                <w:szCs w:val="21"/>
                <w:highlight w:val="none"/>
                <w:lang w:val="en-US" w:eastAsia="zh-CN"/>
              </w:rPr>
              <w:t>汉族，江西寻乌人，1983年8月出生，大学本科学历，中共党员，2007年2月参加农商银行工作，从事金融工作年限18年。</w:t>
            </w:r>
          </w:p>
        </w:tc>
      </w:tr>
      <w:tr>
        <w:tblPrEx>
          <w:tblLayout w:type="fixed"/>
          <w:tblCellMar>
            <w:top w:w="0" w:type="dxa"/>
            <w:left w:w="108" w:type="dxa"/>
            <w:bottom w:w="0" w:type="dxa"/>
            <w:right w:w="108" w:type="dxa"/>
          </w:tblCellMar>
        </w:tblPrEx>
        <w:trPr>
          <w:trHeight w:val="170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罗忠钦</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男</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党委委员、纪委书记、监事长</w:t>
            </w:r>
          </w:p>
        </w:tc>
        <w:tc>
          <w:tcPr>
            <w:tcW w:w="39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eastAsia="仿宋_GB2312"/>
                <w:sz w:val="24"/>
                <w:szCs w:val="21"/>
                <w:highlight w:val="none"/>
                <w:lang w:val="en-US" w:eastAsia="zh-CN"/>
              </w:rPr>
              <w:t>汉族，江西南康人，1983年6月出生，研究生学历，中共党员，2005年7月参加农商银行工作，从事金融工作年限20年。</w:t>
            </w:r>
          </w:p>
        </w:tc>
      </w:tr>
      <w:tr>
        <w:tblPrEx>
          <w:tblLayout w:type="fixed"/>
          <w:tblCellMar>
            <w:top w:w="0" w:type="dxa"/>
            <w:left w:w="108" w:type="dxa"/>
            <w:bottom w:w="0" w:type="dxa"/>
            <w:right w:w="108" w:type="dxa"/>
          </w:tblCellMar>
        </w:tblPrEx>
        <w:trPr>
          <w:trHeight w:val="1807"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4</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何丽芳</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女</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寻乌农商银行董秘</w:t>
            </w:r>
          </w:p>
        </w:tc>
        <w:tc>
          <w:tcPr>
            <w:tcW w:w="397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eastAsia="仿宋_GB2312"/>
                <w:sz w:val="24"/>
                <w:szCs w:val="21"/>
                <w:highlight w:val="none"/>
                <w:lang w:val="en-US" w:eastAsia="zh-CN"/>
              </w:rPr>
              <w:t>汉族，江西寻乌人，1988年10月出生，硕士研究生学历，中共党员，2013年7月参加工作，从事金融工作年限12年。</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40"/>
          <w:highlight w:val="none"/>
          <w:lang w:eastAsia="zh-CN"/>
        </w:rPr>
      </w:pPr>
      <w:r>
        <w:rPr>
          <w:rFonts w:hint="eastAsia" w:ascii="黑体" w:hAnsi="黑体" w:eastAsia="黑体" w:cs="黑体"/>
          <w:sz w:val="32"/>
          <w:szCs w:val="40"/>
          <w:highlight w:val="none"/>
          <w:lang w:eastAsia="zh-CN"/>
        </w:rPr>
        <w:t>（四）董事会、监事会、高级管理层职责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eastAsia="仿宋_GB2312"/>
          <w:b/>
          <w:bCs/>
          <w:sz w:val="32"/>
          <w:szCs w:val="32"/>
          <w:highlight w:val="none"/>
        </w:rPr>
        <w:t>董事会行使下列职权：</w:t>
      </w:r>
      <w:r>
        <w:rPr>
          <w:rFonts w:hint="eastAsia" w:ascii="仿宋_GB2312" w:eastAsia="仿宋_GB231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负责召集股东大会，并向大会报告工作；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执行股东大会的决议；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）确定本行的经营发展战略并监督战略的实施，决定本行的经营计划和投资方案，制定支农支小发展战略；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）制订本行的年度财务预算方案、决算方案、审慎利润分配方案（将主要股东以书面形式向本行作出在必要时向本行补充资本的长期承诺作为需要考虑的主要因素）和弥补亏损方案；</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）制订本行增加或者减少注册资本、发行债券或者其他证券及上市的方案，制定资本规划（包含主要股东以书面形式向本行作出在必要时向本行补充资本的长期承诺的内容），承担资本或偿付能力管理最终责任；</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）拟订本行重大收购、收购本行股份或者合并、分立、解散、清算和变更公司形式的方案；</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）审议批准本行重大对外投资、资产购置、资产处置与核销、资产抵押、关联交易等事项；</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）决定本行内部管理机构及非法人分支机构的设置；</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）聘任或者解聘本行行长、董事会秘书；根据行长的提名，聘任或者解聘本行副行长、内审部门负责人、财务部门负责人、合规部门负责人；</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）确定本行的风险容忍度、风险管理和内部控制政策；董事会对本行全面风险管理承担最终责任；</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制订本行章程的修改方案，制订涉及全体股东利益的重大制度、基本制度、股东大会议事规则、董事会议事规则、董事薪酬制度；审议并批准不涉及全体股东利益的重大制度、基本制度以及董事会专门委员、董事长办公会议事规则、行长办公会议事规则；制定高级管理层履职问责制度；审议或批准对经营活动有重要影响的具体制度,以及其他须由董事会审议或批准的制度。</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）负责本行的信息披露，并对本行的会计和财务报告的真实性、准确性、完整性和及时性承担最终责任；</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）提请股东大会聘用或者解聘为本行财务报告进行定期法定审计的会计师事务所；</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）听取本行行长的工作汇报并检查行长的工作；</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）通报银行保险业监督管理机构对本行的监管意见及本行执行整改情况；</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）向股东大会报告董事会对董事包括独立董事的履职评价结果；</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）制订本行董事年度薪酬、津贴方案，报经股东大会审议批准；</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rPr>
        <w:t>）按照监管规定，聘任或者解聘高级管理人员，并决定其报酬、奖惩事项，监督本行高级管理层的履职情况，确保高级管理层有效履行管理职责；</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）制订股权激励方案；</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）定期评估并完善银行本行公司治理；</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）维护金融消费者和其他利益相关者合法权益；</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）建立本行与股东特别是主要股东之间利益冲突的识别、审查和管理机制；</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）承担股东事务的管理责任；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）法律、法规或本行章程规定，以及股东大会授予或者监管部门要求董事会行使的其他职权。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b w:val="0"/>
          <w:bCs w:val="0"/>
          <w:sz w:val="32"/>
          <w:szCs w:val="32"/>
          <w:highlight w:val="none"/>
        </w:rPr>
      </w:pPr>
      <w:r>
        <w:rPr>
          <w:rFonts w:hint="eastAsia" w:ascii="仿宋_GB2312" w:eastAsia="仿宋_GB2312"/>
          <w:b/>
          <w:bCs/>
          <w:sz w:val="32"/>
          <w:szCs w:val="32"/>
          <w:highlight w:val="none"/>
          <w:lang w:val="en-US" w:eastAsia="zh-CN"/>
        </w:rPr>
        <w:t>2.</w:t>
      </w:r>
      <w:r>
        <w:rPr>
          <w:rFonts w:hint="eastAsia" w:ascii="仿宋_GB2312" w:eastAsia="仿宋_GB2312"/>
          <w:b/>
          <w:bCs/>
          <w:sz w:val="32"/>
          <w:szCs w:val="32"/>
          <w:highlight w:val="none"/>
        </w:rPr>
        <w:t>监事会行使下列职权：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pacing w:val="-6"/>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）监督董事会、高级管理人员履行职责情况，监督董事会确立</w:t>
      </w:r>
      <w:r>
        <w:rPr>
          <w:rFonts w:hint="eastAsia" w:ascii="仿宋_GB2312" w:eastAsia="仿宋_GB2312"/>
          <w:spacing w:val="-6"/>
          <w:sz w:val="32"/>
          <w:szCs w:val="32"/>
          <w:highlight w:val="none"/>
        </w:rPr>
        <w:t xml:space="preserve">稳健的经营理念、价值准则和制定符合公司情况的发展战略；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）要求董事、董事长及高级管理人员纠正其损害本行利益的行为；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）对董事的选聘程序进行监督，对董事和高级管理人员进行专项审计和离任审计；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）对董事、董事长及高级管理人员进行质询；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）检查监督本行的财务活动；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 xml:space="preserve">）对本行的经营决策、风险管理和内部控制等进行监督检查并督促整改；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）对本行发展战略的科学性、合理性和稳健性进行评估，形成评估报告；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）对本行薪酬管理制度实施情况及高级管理人员薪酬方案的科学性、合理性进行监督；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）制订监事会议事规则、监事薪酬制度；制定董事、监事及高级管理层履职评价制度；审议并批准监事会专门委员会议事规则；监督制度的制定与完善；监督制度的实施；监督其他制度管理情况；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）提议召开临时股东大会；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）其他法律、法规、规章及本章程规定应当由监事会行使的职权。</w:t>
      </w:r>
    </w:p>
    <w:p>
      <w:pPr>
        <w:keepNext w:val="0"/>
        <w:keepLines w:val="0"/>
        <w:pageBreakBefore w:val="0"/>
        <w:kinsoku/>
        <w:wordWrap/>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eastAsia="仿宋_GB2312"/>
          <w:sz w:val="32"/>
          <w:szCs w:val="32"/>
          <w:highlight w:val="none"/>
        </w:rPr>
      </w:pPr>
      <w:r>
        <w:rPr>
          <w:rFonts w:hint="eastAsia" w:ascii="仿宋_GB2312" w:eastAsia="仿宋_GB2312"/>
          <w:b/>
          <w:bCs/>
          <w:sz w:val="32"/>
          <w:szCs w:val="32"/>
          <w:highlight w:val="none"/>
          <w:lang w:val="en-US" w:eastAsia="zh-CN"/>
        </w:rPr>
        <w:t>3.高级管理层职责：</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）提请董事会聘任或者解聘其他高级管理层成员及内审部门负责人；</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）聘任或者解聘除应由董事会聘任或者解聘以外的本行内部各职能部门及分支机构负责人；</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）代表高级管理层向董事会提交经营计划和投资方案，经董事会批准后组织实施；</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）授权高级管理层成员、内部各职能部门及分支机构负责人从事经营活动，落实支农支小发展战略；</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）在本行发生挤兑等重大突发事件时，采取紧急措施，并立即向有关机构和董事会、监事会报告；</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）审议并批准日常经营管理中的具体制度、操作流程； 制订行长办公会议事规则； 指导本单位遵守法律法规及制度规定，合规经营，完善内控;经董事会授权，审议或批准其他有关制度、操作流程；</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）其他依据法律法规、行政规章和本章程规定应由行长行使的职权。</w:t>
      </w:r>
    </w:p>
    <w:p>
      <w:pPr>
        <w:keepNext w:val="0"/>
        <w:keepLines w:val="0"/>
        <w:pageBreakBefore w:val="0"/>
        <w:kinsoku/>
        <w:wordWrap/>
        <w:topLinePunct w:val="0"/>
        <w:autoSpaceDE/>
        <w:autoSpaceDN/>
        <w:bidi w:val="0"/>
        <w:adjustRightInd/>
        <w:snapToGrid/>
        <w:spacing w:line="560" w:lineRule="exact"/>
        <w:ind w:left="0" w:leftChars="0" w:right="0" w:rightChars="0" w:firstLine="616" w:firstLineChars="200"/>
        <w:jc w:val="both"/>
        <w:textAlignment w:val="auto"/>
        <w:rPr>
          <w:rFonts w:hint="eastAsia" w:ascii="仿宋_GB2312" w:eastAsia="仿宋_GB2312"/>
          <w:b w:val="0"/>
          <w:bCs/>
          <w:spacing w:val="-6"/>
          <w:sz w:val="32"/>
          <w:szCs w:val="32"/>
          <w:highlight w:val="none"/>
        </w:rPr>
      </w:pPr>
      <w:r>
        <w:rPr>
          <w:rFonts w:hint="eastAsia" w:ascii="仿宋_GB2312" w:eastAsia="仿宋_GB2312"/>
          <w:b w:val="0"/>
          <w:bCs/>
          <w:spacing w:val="-6"/>
          <w:sz w:val="32"/>
          <w:szCs w:val="32"/>
          <w:highlight w:val="none"/>
          <w:lang w:eastAsia="zh-CN"/>
        </w:rPr>
        <w:t>（</w:t>
      </w:r>
      <w:r>
        <w:rPr>
          <w:rFonts w:hint="eastAsia" w:ascii="仿宋_GB2312" w:eastAsia="仿宋_GB2312"/>
          <w:b w:val="0"/>
          <w:bCs/>
          <w:spacing w:val="-6"/>
          <w:sz w:val="32"/>
          <w:szCs w:val="32"/>
          <w:highlight w:val="none"/>
          <w:lang w:val="en-US" w:eastAsia="zh-CN"/>
        </w:rPr>
        <w:t>8</w:t>
      </w:r>
      <w:r>
        <w:rPr>
          <w:rFonts w:hint="eastAsia" w:ascii="仿宋_GB2312" w:eastAsia="仿宋_GB2312"/>
          <w:b w:val="0"/>
          <w:bCs/>
          <w:spacing w:val="-6"/>
          <w:sz w:val="32"/>
          <w:szCs w:val="32"/>
          <w:highlight w:val="none"/>
          <w:lang w:eastAsia="zh-CN"/>
        </w:rPr>
        <w:t>）</w:t>
      </w:r>
      <w:r>
        <w:rPr>
          <w:rFonts w:hint="eastAsia" w:ascii="仿宋_GB2312" w:eastAsia="仿宋_GB2312"/>
          <w:b w:val="0"/>
          <w:bCs/>
          <w:spacing w:val="-6"/>
          <w:sz w:val="32"/>
          <w:szCs w:val="32"/>
          <w:highlight w:val="none"/>
        </w:rPr>
        <w:t>行长列席董事会会议，非董事行长在董事会上没有表决权。</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sz w:val="32"/>
          <w:szCs w:val="32"/>
          <w:highlight w:val="none"/>
        </w:rPr>
      </w:pP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lang w:val="en-US" w:eastAsia="zh-CN"/>
        </w:rPr>
        <w:t>9</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行长和其他高级管理人员应当接受监事会监督，定期向监事会提供有关本行经营业绩、重要合同、财务状况、风险状况和经营前景等情况，不得阻挠、妨碍监事会依照职权进行的检查、监督等活动。</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lang w:val="en-US" w:eastAsia="zh-CN"/>
        </w:rPr>
        <w:t>10</w:t>
      </w:r>
      <w:r>
        <w:rPr>
          <w:rFonts w:hint="eastAsia" w:ascii="仿宋_GB2312" w:eastAsia="仿宋_GB2312"/>
          <w:b w:val="0"/>
          <w:bCs/>
          <w:sz w:val="32"/>
          <w:szCs w:val="32"/>
          <w:highlight w:val="none"/>
          <w:lang w:eastAsia="zh-CN"/>
        </w:rPr>
        <w:t>）</w:t>
      </w:r>
      <w:r>
        <w:rPr>
          <w:rFonts w:hint="eastAsia" w:ascii="仿宋_GB2312" w:eastAsia="仿宋_GB2312"/>
          <w:sz w:val="32"/>
          <w:szCs w:val="32"/>
          <w:highlight w:val="none"/>
        </w:rPr>
        <w:t>行长和其他高级管理人员应当遵守法律、行政法规和本章程的规定，履行诚信和勤勉的义务，熟悉反洗钱和反恐怖融资法律法规，接受了必要的反洗钱和反恐怖融资培训，通过银行业监督管理机构组织的包含反洗钱和反恐怖融资内容的任职资格测试。</w:t>
      </w:r>
    </w:p>
    <w:p>
      <w:pPr>
        <w:keepNext w:val="0"/>
        <w:keepLines w:val="0"/>
        <w:pageBreakBefore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本行高级管理人员依法在职权范围内的经营管理活动不受干预。超出董事会授权范围或违反法律法规、行政规章和本章程规定做出经营决策，致使本行遭受严重损失的，参与决策的高级管理人员应承担相应责任。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lang w:eastAsia="zh-CN"/>
        </w:rPr>
        <w:t>（五）部门及分支机构情况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本行内设机构有办公室、人力资源部、党风行风监督室、</w:t>
      </w:r>
      <w:r>
        <w:rPr>
          <w:rFonts w:hint="eastAsia" w:ascii="仿宋_GB2312" w:hAnsi="仿宋_GB2312" w:eastAsia="仿宋_GB2312" w:cs="仿宋_GB2312"/>
          <w:color w:val="auto"/>
          <w:sz w:val="32"/>
          <w:szCs w:val="32"/>
          <w:highlight w:val="none"/>
          <w:lang w:eastAsia="zh-CN"/>
        </w:rPr>
        <w:t>计划财务</w:t>
      </w:r>
      <w:r>
        <w:rPr>
          <w:rFonts w:hint="eastAsia" w:ascii="仿宋_GB2312" w:hAnsi="仿宋_GB2312" w:eastAsia="仿宋_GB2312" w:cs="仿宋_GB2312"/>
          <w:color w:val="auto"/>
          <w:sz w:val="32"/>
          <w:szCs w:val="32"/>
          <w:highlight w:val="none"/>
        </w:rPr>
        <w:t>部、运营管理部、审计部、</w:t>
      </w:r>
      <w:r>
        <w:rPr>
          <w:rFonts w:hint="eastAsia" w:ascii="仿宋_GB2312" w:hAnsi="仿宋_GB2312" w:eastAsia="仿宋_GB2312" w:cs="仿宋_GB2312"/>
          <w:color w:val="auto"/>
          <w:sz w:val="32"/>
          <w:szCs w:val="32"/>
          <w:highlight w:val="none"/>
          <w:lang w:val="en-US" w:eastAsia="zh-CN"/>
        </w:rPr>
        <w:t>法律</w:t>
      </w:r>
      <w:r>
        <w:rPr>
          <w:rFonts w:hint="eastAsia" w:ascii="仿宋_GB2312" w:hAnsi="仿宋_GB2312" w:eastAsia="仿宋_GB2312" w:cs="仿宋_GB2312"/>
          <w:color w:val="auto"/>
          <w:sz w:val="32"/>
          <w:szCs w:val="32"/>
          <w:highlight w:val="none"/>
        </w:rPr>
        <w:t>合规部、</w:t>
      </w:r>
      <w:r>
        <w:rPr>
          <w:rFonts w:hint="eastAsia" w:ascii="仿宋_GB2312" w:hAnsi="仿宋_GB2312" w:eastAsia="仿宋_GB2312" w:cs="仿宋_GB2312"/>
          <w:color w:val="auto"/>
          <w:sz w:val="32"/>
          <w:szCs w:val="32"/>
          <w:highlight w:val="none"/>
          <w:lang w:val="en-US" w:eastAsia="zh-CN"/>
        </w:rPr>
        <w:t>风险管理部、</w:t>
      </w:r>
      <w:r>
        <w:rPr>
          <w:rFonts w:hint="eastAsia" w:ascii="仿宋_GB2312" w:hAnsi="仿宋_GB2312" w:eastAsia="仿宋_GB2312" w:cs="仿宋_GB2312"/>
          <w:color w:val="auto"/>
          <w:sz w:val="32"/>
          <w:szCs w:val="32"/>
          <w:highlight w:val="none"/>
        </w:rPr>
        <w:t>业务拓展部、安全保卫部、</w:t>
      </w:r>
      <w:r>
        <w:rPr>
          <w:rFonts w:hint="eastAsia" w:ascii="仿宋_GB2312" w:hAnsi="仿宋_GB2312" w:eastAsia="仿宋_GB2312" w:cs="仿宋_GB2312"/>
          <w:color w:val="auto"/>
          <w:sz w:val="32"/>
          <w:szCs w:val="32"/>
          <w:highlight w:val="none"/>
          <w:lang w:eastAsia="zh-CN"/>
        </w:rPr>
        <w:t>党群工作部、</w:t>
      </w:r>
      <w:r>
        <w:rPr>
          <w:rFonts w:hint="eastAsia" w:ascii="仿宋_GB2312" w:hAnsi="仿宋_GB2312" w:eastAsia="仿宋_GB2312" w:cs="仿宋_GB2312"/>
          <w:color w:val="auto"/>
          <w:sz w:val="32"/>
          <w:szCs w:val="32"/>
          <w:highlight w:val="none"/>
          <w:lang w:val="en-US" w:eastAsia="zh-CN"/>
        </w:rPr>
        <w:t>信贷管理部、授信评审部</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个职能部室及</w:t>
      </w:r>
      <w:r>
        <w:rPr>
          <w:rFonts w:hint="eastAsia" w:ascii="仿宋_GB2312" w:hAnsi="仿宋_GB2312" w:eastAsia="仿宋_GB2312" w:cs="仿宋_GB2312"/>
          <w:color w:val="auto"/>
          <w:sz w:val="32"/>
          <w:szCs w:val="32"/>
          <w:highlight w:val="none"/>
          <w:lang w:eastAsia="zh-CN"/>
        </w:rPr>
        <w:t>资金事业</w:t>
      </w:r>
      <w:r>
        <w:rPr>
          <w:rFonts w:hint="eastAsia" w:ascii="仿宋_GB2312" w:hAnsi="仿宋_GB2312" w:eastAsia="仿宋_GB2312" w:cs="仿宋_GB2312"/>
          <w:color w:val="auto"/>
          <w:sz w:val="32"/>
          <w:szCs w:val="32"/>
          <w:highlight w:val="none"/>
        </w:rPr>
        <w:t>部、清收事业部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个事业部，辖内</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个营业网点，其中总行营业部1个，支行</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lang w:eastAsia="zh-CN"/>
        </w:rPr>
        <w:t>（六）员工情况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年末，本行在岗员工</w:t>
      </w:r>
      <w:r>
        <w:rPr>
          <w:rFonts w:hint="eastAsia" w:ascii="仿宋_GB2312" w:hAnsi="仿宋_GB2312" w:eastAsia="仿宋_GB2312" w:cs="仿宋_GB2312"/>
          <w:color w:val="auto"/>
          <w:sz w:val="32"/>
          <w:szCs w:val="32"/>
          <w:highlight w:val="none"/>
          <w:lang w:val="en-US" w:eastAsia="zh-CN"/>
        </w:rPr>
        <w:t>214</w:t>
      </w:r>
      <w:r>
        <w:rPr>
          <w:rFonts w:hint="eastAsia" w:ascii="仿宋_GB2312" w:hAnsi="仿宋_GB2312" w:eastAsia="仿宋_GB2312" w:cs="仿宋_GB2312"/>
          <w:color w:val="auto"/>
          <w:sz w:val="32"/>
          <w:szCs w:val="32"/>
          <w:highlight w:val="none"/>
        </w:rPr>
        <w:t>人。</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 w:hAnsi="楷体" w:eastAsia="楷体" w:cs="楷体"/>
          <w:b/>
          <w:bCs/>
          <w:color w:val="auto"/>
          <w:kern w:val="0"/>
          <w:sz w:val="32"/>
          <w:szCs w:val="32"/>
          <w:highlight w:val="none"/>
          <w:lang w:val="en-US" w:eastAsia="zh-CN" w:bidi="ar-SA"/>
        </w:rPr>
        <w:t xml:space="preserve"> （七）年度内股东会情况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年共召开1次股东大会。</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日召开202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年度股东大会，审议通过了董事会、监事会工作报告、财务预决算方案和利润分配方案等议案和报告</w:t>
      </w:r>
      <w:r>
        <w:rPr>
          <w:rFonts w:hint="eastAsia" w:ascii="仿宋_GB2312" w:hAnsi="仿宋_GB2312" w:eastAsia="仿宋_GB2312" w:cs="仿宋_GB2312"/>
          <w:color w:val="auto"/>
          <w:sz w:val="32"/>
          <w:szCs w:val="32"/>
          <w:highlight w:val="none"/>
          <w:lang w:eastAsia="zh-CN"/>
        </w:rPr>
        <w:t>共</w:t>
      </w:r>
      <w:r>
        <w:rPr>
          <w:rFonts w:hint="eastAsia" w:ascii="仿宋_GB2312" w:hAnsi="仿宋_GB2312" w:eastAsia="仿宋_GB2312" w:cs="仿宋_GB2312"/>
          <w:color w:val="auto"/>
          <w:sz w:val="32"/>
          <w:szCs w:val="32"/>
          <w:highlight w:val="none"/>
          <w:lang w:val="en-US" w:eastAsia="zh-CN"/>
        </w:rPr>
        <w:t>24个议案</w:t>
      </w:r>
      <w:r>
        <w:rPr>
          <w:rFonts w:hint="eastAsia" w:ascii="仿宋_GB2312" w:hAnsi="仿宋_GB2312" w:eastAsia="仿宋_GB2312" w:cs="仿宋_GB2312"/>
          <w:color w:val="auto"/>
          <w:sz w:val="32"/>
          <w:szCs w:val="32"/>
          <w:highlight w:val="none"/>
        </w:rPr>
        <w:t>，并对年度工作计划进行了研究部署。还聘请律师专门组织股东、董事、监事和高管人员进行培训。股东大会会上，各股东代表均以主人翁的姿态，纷纷建言献策，畅所欲言，增进了农商银行工作的透明度和公信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rightChars="0" w:firstLine="643" w:firstLineChars="200"/>
        <w:jc w:val="both"/>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（八）股东提名董事、监事情况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2024年度股东未提名董事、监事人选。</w:t>
      </w:r>
    </w:p>
    <w:p>
      <w:pPr>
        <w:pStyle w:val="2"/>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（一）股本变动及股东情况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1.股东权益变动表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单位：万元</w:t>
      </w:r>
    </w:p>
    <w:tbl>
      <w:tblPr>
        <w:tblStyle w:val="14"/>
        <w:tblW w:w="911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3"/>
        <w:gridCol w:w="2241"/>
        <w:gridCol w:w="2241"/>
        <w:gridCol w:w="20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项</w:t>
            </w:r>
            <w:r>
              <w:rPr>
                <w:rFonts w:hint="eastAsia" w:ascii="仿宋_GB2312" w:hAnsi="仿宋_GB2312" w:eastAsia="仿宋_GB2312" w:cs="仿宋_GB2312"/>
                <w:b/>
                <w:bCs/>
                <w:color w:val="auto"/>
                <w:kern w:val="0"/>
                <w:sz w:val="28"/>
                <w:szCs w:val="28"/>
                <w:highlight w:val="none"/>
                <w:lang w:val="en-US" w:eastAsia="zh-CN"/>
              </w:rPr>
              <w:t xml:space="preserve"> </w:t>
            </w:r>
            <w:r>
              <w:rPr>
                <w:rFonts w:hint="eastAsia" w:ascii="仿宋_GB2312" w:hAnsi="仿宋_GB2312" w:eastAsia="仿宋_GB2312" w:cs="仿宋_GB2312"/>
                <w:b/>
                <w:bCs/>
                <w:color w:val="auto"/>
                <w:kern w:val="0"/>
                <w:sz w:val="28"/>
                <w:szCs w:val="28"/>
                <w:highlight w:val="none"/>
              </w:rPr>
              <w:t>目</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202</w:t>
            </w:r>
            <w:r>
              <w:rPr>
                <w:rFonts w:hint="eastAsia" w:ascii="仿宋_GB2312" w:hAnsi="仿宋_GB2312" w:eastAsia="仿宋_GB2312" w:cs="仿宋_GB2312"/>
                <w:b/>
                <w:bCs/>
                <w:color w:val="auto"/>
                <w:kern w:val="0"/>
                <w:sz w:val="28"/>
                <w:szCs w:val="28"/>
                <w:highlight w:val="none"/>
                <w:lang w:val="en-US" w:eastAsia="zh-CN"/>
              </w:rPr>
              <w:t>4</w:t>
            </w:r>
            <w:r>
              <w:rPr>
                <w:rFonts w:hint="eastAsia" w:ascii="仿宋_GB2312" w:hAnsi="仿宋_GB2312" w:eastAsia="仿宋_GB2312" w:cs="仿宋_GB2312"/>
                <w:b/>
                <w:bCs/>
                <w:color w:val="auto"/>
                <w:kern w:val="0"/>
                <w:sz w:val="28"/>
                <w:szCs w:val="28"/>
                <w:highlight w:val="none"/>
              </w:rPr>
              <w:t>年末</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本期增加</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202</w:t>
            </w:r>
            <w:r>
              <w:rPr>
                <w:rFonts w:hint="eastAsia" w:ascii="仿宋_GB2312" w:hAnsi="仿宋_GB2312" w:eastAsia="仿宋_GB2312" w:cs="仿宋_GB2312"/>
                <w:b/>
                <w:bCs/>
                <w:color w:val="auto"/>
                <w:kern w:val="0"/>
                <w:sz w:val="28"/>
                <w:szCs w:val="28"/>
                <w:highlight w:val="none"/>
                <w:lang w:val="en-US" w:eastAsia="zh-CN"/>
              </w:rPr>
              <w:t>3</w:t>
            </w:r>
            <w:r>
              <w:rPr>
                <w:rFonts w:hint="eastAsia" w:ascii="仿宋_GB2312" w:hAnsi="仿宋_GB2312" w:eastAsia="仿宋_GB2312" w:cs="仿宋_GB2312"/>
                <w:b/>
                <w:bCs/>
                <w:color w:val="auto"/>
                <w:kern w:val="0"/>
                <w:sz w:val="28"/>
                <w:szCs w:val="28"/>
                <w:highlight w:val="none"/>
              </w:rPr>
              <w:t>年末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股</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本</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15,321.04</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151.69</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15,169.35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资本公积</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793.98</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0.00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793.98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盈余公积</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15,847.78</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1,278.17</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14,569.61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一般风险准备</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21,326.51</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60.16</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21,266.35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未分配利润</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45,127.66</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5,686.76</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39,440.89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其他综合收益</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254.94</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-485.14</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740.08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所有者权益合计</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98,671.89</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6,691.64</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91,980.26</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2.股东权益变动表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单位：万元</w:t>
      </w:r>
    </w:p>
    <w:tbl>
      <w:tblPr>
        <w:tblStyle w:val="14"/>
        <w:tblW w:w="9099" w:type="dxa"/>
        <w:jc w:val="center"/>
        <w:tblInd w:w="0" w:type="dxa"/>
        <w:tblLayout w:type="fixed"/>
        <w:tblCellMar>
          <w:top w:w="0" w:type="dxa"/>
          <w:left w:w="108" w:type="dxa"/>
          <w:bottom w:w="0" w:type="dxa"/>
          <w:right w:w="108" w:type="dxa"/>
        </w:tblCellMar>
      </w:tblPr>
      <w:tblGrid>
        <w:gridCol w:w="2610"/>
        <w:gridCol w:w="3408"/>
        <w:gridCol w:w="3081"/>
      </w:tblGrid>
      <w:tr>
        <w:tblPrEx>
          <w:tblLayout w:type="fixed"/>
          <w:tblCellMar>
            <w:top w:w="0" w:type="dxa"/>
            <w:left w:w="108" w:type="dxa"/>
            <w:bottom w:w="0" w:type="dxa"/>
            <w:right w:w="108" w:type="dxa"/>
          </w:tblCellMar>
        </w:tblPrEx>
        <w:trPr>
          <w:trHeight w:val="645" w:hRule="atLeast"/>
          <w:jc w:val="center"/>
        </w:trPr>
        <w:tc>
          <w:tcPr>
            <w:tcW w:w="2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股东类型</w:t>
            </w:r>
          </w:p>
        </w:tc>
        <w:tc>
          <w:tcPr>
            <w:tcW w:w="34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val="en-US" w:eastAsia="zh-CN"/>
              </w:rPr>
              <w:t>2024</w:t>
            </w:r>
            <w:r>
              <w:rPr>
                <w:rFonts w:hint="eastAsia" w:ascii="仿宋_GB2312" w:hAnsi="仿宋_GB2312" w:eastAsia="仿宋_GB2312" w:cs="仿宋_GB2312"/>
                <w:b/>
                <w:bCs/>
                <w:color w:val="auto"/>
                <w:kern w:val="0"/>
                <w:sz w:val="28"/>
                <w:szCs w:val="28"/>
                <w:highlight w:val="none"/>
              </w:rPr>
              <w:t>年末股本数</w:t>
            </w:r>
          </w:p>
        </w:tc>
        <w:tc>
          <w:tcPr>
            <w:tcW w:w="3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占总股本比例（%）</w:t>
            </w:r>
          </w:p>
        </w:tc>
      </w:tr>
      <w:tr>
        <w:tblPrEx>
          <w:tblLayout w:type="fixed"/>
          <w:tblCellMar>
            <w:top w:w="0" w:type="dxa"/>
            <w:left w:w="108" w:type="dxa"/>
            <w:bottom w:w="0" w:type="dxa"/>
            <w:right w:w="108" w:type="dxa"/>
          </w:tblCellMar>
        </w:tblPrEx>
        <w:trPr>
          <w:trHeight w:val="645" w:hRule="atLeast"/>
          <w:jc w:val="center"/>
        </w:trPr>
        <w:tc>
          <w:tcPr>
            <w:tcW w:w="26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法人股</w:t>
            </w:r>
          </w:p>
        </w:tc>
        <w:tc>
          <w:tcPr>
            <w:tcW w:w="34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2,140.45</w:t>
            </w:r>
          </w:p>
        </w:tc>
        <w:tc>
          <w:tcPr>
            <w:tcW w:w="3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14.11</w:t>
            </w:r>
          </w:p>
        </w:tc>
      </w:tr>
      <w:tr>
        <w:tblPrEx>
          <w:tblLayout w:type="fixed"/>
          <w:tblCellMar>
            <w:top w:w="0" w:type="dxa"/>
            <w:left w:w="108" w:type="dxa"/>
            <w:bottom w:w="0" w:type="dxa"/>
            <w:right w:w="108" w:type="dxa"/>
          </w:tblCellMar>
        </w:tblPrEx>
        <w:trPr>
          <w:trHeight w:val="645" w:hRule="atLeast"/>
          <w:jc w:val="center"/>
        </w:trPr>
        <w:tc>
          <w:tcPr>
            <w:tcW w:w="26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职工自然人股</w:t>
            </w:r>
          </w:p>
        </w:tc>
        <w:tc>
          <w:tcPr>
            <w:tcW w:w="34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2,563.09</w:t>
            </w:r>
          </w:p>
        </w:tc>
        <w:tc>
          <w:tcPr>
            <w:tcW w:w="3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16.90</w:t>
            </w:r>
          </w:p>
        </w:tc>
      </w:tr>
      <w:tr>
        <w:tblPrEx>
          <w:tblLayout w:type="fixed"/>
          <w:tblCellMar>
            <w:top w:w="0" w:type="dxa"/>
            <w:left w:w="108" w:type="dxa"/>
            <w:bottom w:w="0" w:type="dxa"/>
            <w:right w:w="108" w:type="dxa"/>
          </w:tblCellMar>
        </w:tblPrEx>
        <w:trPr>
          <w:trHeight w:val="667" w:hRule="atLeast"/>
          <w:jc w:val="center"/>
        </w:trPr>
        <w:tc>
          <w:tcPr>
            <w:tcW w:w="26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非</w:t>
            </w:r>
            <w:r>
              <w:rPr>
                <w:rFonts w:hint="eastAsia" w:ascii="仿宋_GB2312" w:hAnsi="仿宋_GB2312" w:eastAsia="仿宋_GB2312" w:cs="仿宋_GB2312"/>
                <w:color w:val="auto"/>
                <w:kern w:val="0"/>
                <w:sz w:val="28"/>
                <w:szCs w:val="28"/>
                <w:highlight w:val="none"/>
              </w:rPr>
              <w:t>职工自然人股</w:t>
            </w:r>
          </w:p>
        </w:tc>
        <w:tc>
          <w:tcPr>
            <w:tcW w:w="34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10,465.81</w:t>
            </w:r>
          </w:p>
        </w:tc>
        <w:tc>
          <w:tcPr>
            <w:tcW w:w="3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68.99</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3.最大十名股东名称及报告期内变动情况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单位：万股</w:t>
      </w:r>
    </w:p>
    <w:tbl>
      <w:tblPr>
        <w:tblStyle w:val="14"/>
        <w:tblW w:w="9117" w:type="dxa"/>
        <w:jc w:val="center"/>
        <w:tblInd w:w="0" w:type="dxa"/>
        <w:tblLayout w:type="fixed"/>
        <w:tblCellMar>
          <w:top w:w="0" w:type="dxa"/>
          <w:left w:w="108" w:type="dxa"/>
          <w:bottom w:w="0" w:type="dxa"/>
          <w:right w:w="108" w:type="dxa"/>
        </w:tblCellMar>
      </w:tblPr>
      <w:tblGrid>
        <w:gridCol w:w="2861"/>
        <w:gridCol w:w="1590"/>
        <w:gridCol w:w="1529"/>
        <w:gridCol w:w="1590"/>
        <w:gridCol w:w="1547"/>
      </w:tblGrid>
      <w:tr>
        <w:tblPrEx>
          <w:tblLayout w:type="fixed"/>
          <w:tblCellMar>
            <w:top w:w="0" w:type="dxa"/>
            <w:left w:w="108" w:type="dxa"/>
            <w:bottom w:w="0" w:type="dxa"/>
            <w:right w:w="108" w:type="dxa"/>
          </w:tblCellMar>
        </w:tblPrEx>
        <w:trPr>
          <w:trHeight w:val="454" w:hRule="atLeast"/>
          <w:jc w:val="center"/>
        </w:trPr>
        <w:tc>
          <w:tcPr>
            <w:tcW w:w="2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股东名称</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期初持股数额</w:t>
            </w:r>
          </w:p>
        </w:tc>
        <w:tc>
          <w:tcPr>
            <w:tcW w:w="15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本期增减变动</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期末持股数额</w:t>
            </w:r>
          </w:p>
        </w:tc>
        <w:tc>
          <w:tcPr>
            <w:tcW w:w="15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持股比例（%）</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1513.81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15.14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1528.95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9.98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380.92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3.81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384.73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2.51 </w:t>
            </w:r>
          </w:p>
        </w:tc>
      </w:tr>
      <w:tr>
        <w:tblPrEx>
          <w:tblLayout w:type="fixed"/>
          <w:tblCellMar>
            <w:top w:w="0" w:type="dxa"/>
            <w:left w:w="108" w:type="dxa"/>
            <w:bottom w:w="0" w:type="dxa"/>
            <w:right w:w="108" w:type="dxa"/>
          </w:tblCellMar>
        </w:tblPrEx>
        <w:trPr>
          <w:trHeight w:val="454" w:hRule="atLeast"/>
          <w:jc w:val="center"/>
        </w:trPr>
        <w:tc>
          <w:tcPr>
            <w:tcW w:w="2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江西天颂建筑工程有限公司</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15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183.98 </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183.98 </w:t>
            </w:r>
          </w:p>
        </w:tc>
        <w:tc>
          <w:tcPr>
            <w:tcW w:w="15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1.20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谢慧琳</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165.60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1.66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167.26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1.09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严稽林</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127.18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1.27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128.45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0.84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黄新</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126.60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1.27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127.87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0.83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钟开祥</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123.66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1.24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124.89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0.82 </w:t>
            </w:r>
          </w:p>
        </w:tc>
      </w:tr>
      <w:tr>
        <w:tblPrEx>
          <w:tblLayout w:type="fixed"/>
          <w:tblCellMar>
            <w:top w:w="0" w:type="dxa"/>
            <w:left w:w="108" w:type="dxa"/>
            <w:bottom w:w="0" w:type="dxa"/>
            <w:right w:w="108" w:type="dxa"/>
          </w:tblCellMar>
        </w:tblPrEx>
        <w:trPr>
          <w:trHeight w:val="454" w:hRule="atLeast"/>
          <w:jc w:val="center"/>
        </w:trPr>
        <w:tc>
          <w:tcPr>
            <w:tcW w:w="2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刘文洋</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105.81 </w:t>
            </w:r>
          </w:p>
        </w:tc>
        <w:tc>
          <w:tcPr>
            <w:tcW w:w="15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1.06 </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106.86 </w:t>
            </w:r>
          </w:p>
        </w:tc>
        <w:tc>
          <w:tcPr>
            <w:tcW w:w="15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0.70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李文艳</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104.35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1.04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105.39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0.69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刘宏英</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104.24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1.04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105.28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0.69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4.报告期末主要股东及其控股股东、实际控制人、关联方、一致行动人、最终受益人情况</w:t>
      </w:r>
    </w:p>
    <w:tbl>
      <w:tblPr>
        <w:tblStyle w:val="14"/>
        <w:tblW w:w="9058" w:type="dxa"/>
        <w:jc w:val="center"/>
        <w:tblInd w:w="0" w:type="dxa"/>
        <w:tblLayout w:type="fixed"/>
        <w:tblCellMar>
          <w:top w:w="0" w:type="dxa"/>
          <w:left w:w="108" w:type="dxa"/>
          <w:bottom w:w="0" w:type="dxa"/>
          <w:right w:w="108" w:type="dxa"/>
        </w:tblCellMar>
      </w:tblPr>
      <w:tblGrid>
        <w:gridCol w:w="3759"/>
        <w:gridCol w:w="1753"/>
        <w:gridCol w:w="3546"/>
      </w:tblGrid>
      <w:tr>
        <w:tblPrEx>
          <w:tblLayout w:type="fixed"/>
          <w:tblCellMar>
            <w:top w:w="0" w:type="dxa"/>
            <w:left w:w="108" w:type="dxa"/>
            <w:bottom w:w="0" w:type="dxa"/>
            <w:right w:w="108" w:type="dxa"/>
          </w:tblCellMar>
        </w:tblPrEx>
        <w:trPr>
          <w:trHeight w:val="657" w:hRule="atLeast"/>
          <w:jc w:val="center"/>
        </w:trPr>
        <w:tc>
          <w:tcPr>
            <w:tcW w:w="3759" w:type="dxa"/>
            <w:tcBorders>
              <w:top w:val="nil"/>
              <w:left w:val="nil"/>
              <w:bottom w:val="nil"/>
              <w:right w:val="nil"/>
            </w:tcBorders>
            <w:vAlign w:val="center"/>
          </w:tcPr>
          <w:p>
            <w:pPr>
              <w:keepNext w:val="0"/>
              <w:keepLines w:val="0"/>
              <w:pageBreakBefore w:val="0"/>
              <w:widowControl/>
              <w:kinsoku/>
              <w:overflowPunct/>
              <w:topLinePunct w:val="0"/>
              <w:bidi w:val="0"/>
              <w:spacing w:line="560" w:lineRule="exact"/>
              <w:ind w:left="0" w:leftChars="0" w:right="0" w:firstLine="640" w:firstLineChars="200"/>
              <w:rPr>
                <w:rFonts w:hint="eastAsia" w:ascii="仿宋_GB2312" w:hAnsi="仿宋_GB2312" w:eastAsia="仿宋_GB2312" w:cs="仿宋_GB2312"/>
                <w:color w:val="auto"/>
                <w:kern w:val="0"/>
                <w:sz w:val="32"/>
                <w:szCs w:val="32"/>
                <w:highlight w:val="none"/>
              </w:rPr>
            </w:pPr>
          </w:p>
        </w:tc>
        <w:tc>
          <w:tcPr>
            <w:tcW w:w="1753" w:type="dxa"/>
            <w:tcBorders>
              <w:top w:val="nil"/>
              <w:left w:val="nil"/>
              <w:bottom w:val="nil"/>
              <w:right w:val="nil"/>
            </w:tcBorders>
            <w:vAlign w:val="center"/>
          </w:tcPr>
          <w:p>
            <w:pPr>
              <w:keepNext w:val="0"/>
              <w:keepLines w:val="0"/>
              <w:pageBreakBefore w:val="0"/>
              <w:widowControl/>
              <w:kinsoku/>
              <w:overflowPunct/>
              <w:topLinePunct w:val="0"/>
              <w:bidi w:val="0"/>
              <w:spacing w:line="560" w:lineRule="exact"/>
              <w:ind w:left="0" w:leftChars="0" w:right="0" w:firstLine="640" w:firstLineChars="200"/>
              <w:rPr>
                <w:rFonts w:hint="eastAsia" w:ascii="仿宋_GB2312" w:hAnsi="仿宋_GB2312" w:eastAsia="仿宋_GB2312" w:cs="仿宋_GB2312"/>
                <w:color w:val="auto"/>
                <w:kern w:val="0"/>
                <w:sz w:val="32"/>
                <w:szCs w:val="32"/>
                <w:highlight w:val="none"/>
              </w:rPr>
            </w:pPr>
          </w:p>
        </w:tc>
        <w:tc>
          <w:tcPr>
            <w:tcW w:w="3546" w:type="dxa"/>
            <w:tcBorders>
              <w:top w:val="nil"/>
              <w:left w:val="nil"/>
              <w:bottom w:val="nil"/>
              <w:right w:val="nil"/>
            </w:tcBorders>
            <w:vAlign w:val="center"/>
          </w:tcPr>
          <w:p>
            <w:pPr>
              <w:keepNext w:val="0"/>
              <w:keepLines w:val="0"/>
              <w:pageBreakBefore w:val="0"/>
              <w:widowControl/>
              <w:kinsoku/>
              <w:overflowPunct/>
              <w:topLinePunct w:val="0"/>
              <w:bidi w:val="0"/>
              <w:spacing w:line="560" w:lineRule="exact"/>
              <w:ind w:left="0" w:leftChars="0" w:right="0" w:firstLine="640" w:firstLineChars="200"/>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单位：万股</w:t>
            </w:r>
          </w:p>
        </w:tc>
      </w:tr>
      <w:tr>
        <w:tblPrEx>
          <w:tblLayout w:type="fixed"/>
          <w:tblCellMar>
            <w:top w:w="0" w:type="dxa"/>
            <w:left w:w="108" w:type="dxa"/>
            <w:bottom w:w="0" w:type="dxa"/>
            <w:right w:w="108" w:type="dxa"/>
          </w:tblCellMar>
        </w:tblPrEx>
        <w:trPr>
          <w:trHeight w:val="763"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主要股东</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持股份额</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实际控制人</w:t>
            </w:r>
          </w:p>
        </w:tc>
      </w:tr>
      <w:tr>
        <w:tblPrEx>
          <w:tblLayout w:type="fixed"/>
          <w:tblCellMar>
            <w:top w:w="0" w:type="dxa"/>
            <w:left w:w="108" w:type="dxa"/>
            <w:bottom w:w="0" w:type="dxa"/>
            <w:right w:w="108" w:type="dxa"/>
          </w:tblCellMar>
        </w:tblPrEx>
        <w:trPr>
          <w:trHeight w:val="614" w:hRule="atLeast"/>
          <w:jc w:val="center"/>
        </w:trPr>
        <w:tc>
          <w:tcPr>
            <w:tcW w:w="37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c>
          <w:tcPr>
            <w:tcW w:w="17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1528.95 </w:t>
            </w:r>
          </w:p>
        </w:tc>
        <w:tc>
          <w:tcPr>
            <w:tcW w:w="35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r>
      <w:tr>
        <w:tblPrEx>
          <w:tblLayout w:type="fixed"/>
          <w:tblCellMar>
            <w:top w:w="0" w:type="dxa"/>
            <w:left w:w="108" w:type="dxa"/>
            <w:bottom w:w="0" w:type="dxa"/>
            <w:right w:w="108" w:type="dxa"/>
          </w:tblCellMar>
        </w:tblPrEx>
        <w:trPr>
          <w:trHeight w:val="567"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384.73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r>
      <w:tr>
        <w:tblPrEx>
          <w:tblLayout w:type="fixed"/>
          <w:tblCellMar>
            <w:top w:w="0" w:type="dxa"/>
            <w:left w:w="108" w:type="dxa"/>
            <w:bottom w:w="0" w:type="dxa"/>
            <w:right w:w="108" w:type="dxa"/>
          </w:tblCellMar>
        </w:tblPrEx>
        <w:trPr>
          <w:trHeight w:val="608"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曾海金</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1.01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曾海金</w:t>
            </w:r>
          </w:p>
        </w:tc>
      </w:tr>
      <w:tr>
        <w:tblPrEx>
          <w:tblLayout w:type="fixed"/>
          <w:tblCellMar>
            <w:top w:w="0" w:type="dxa"/>
            <w:left w:w="108" w:type="dxa"/>
            <w:bottom w:w="0" w:type="dxa"/>
            <w:right w:w="108" w:type="dxa"/>
          </w:tblCellMar>
        </w:tblPrEx>
        <w:trPr>
          <w:trHeight w:val="608"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潘其森</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1.67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潘其森</w:t>
            </w:r>
          </w:p>
        </w:tc>
      </w:tr>
      <w:tr>
        <w:tblPrEx>
          <w:tblLayout w:type="fixed"/>
          <w:tblCellMar>
            <w:top w:w="0" w:type="dxa"/>
            <w:left w:w="108" w:type="dxa"/>
            <w:bottom w:w="0" w:type="dxa"/>
            <w:right w:w="108" w:type="dxa"/>
          </w:tblCellMar>
        </w:tblPrEx>
        <w:trPr>
          <w:trHeight w:val="608"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严艳娟</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51.05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严艳娟</w:t>
            </w:r>
          </w:p>
        </w:tc>
      </w:tr>
      <w:tr>
        <w:tblPrEx>
          <w:tblLayout w:type="fixed"/>
          <w:tblCellMar>
            <w:top w:w="0" w:type="dxa"/>
            <w:left w:w="108" w:type="dxa"/>
            <w:bottom w:w="0" w:type="dxa"/>
            <w:right w:w="108" w:type="dxa"/>
          </w:tblCellMar>
        </w:tblPrEx>
        <w:trPr>
          <w:trHeight w:val="608"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赵宽</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9.78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赵宽</w:t>
            </w:r>
          </w:p>
        </w:tc>
      </w:tr>
      <w:tr>
        <w:tblPrEx>
          <w:tblLayout w:type="fixed"/>
          <w:tblCellMar>
            <w:top w:w="0" w:type="dxa"/>
            <w:left w:w="108" w:type="dxa"/>
            <w:bottom w:w="0" w:type="dxa"/>
            <w:right w:w="108" w:type="dxa"/>
          </w:tblCellMar>
        </w:tblPrEx>
        <w:trPr>
          <w:trHeight w:val="630"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赖建平</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15.20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赖建平</w:t>
            </w:r>
          </w:p>
        </w:tc>
      </w:tr>
      <w:tr>
        <w:tblPrEx>
          <w:tblLayout w:type="fixed"/>
          <w:tblCellMar>
            <w:top w:w="0" w:type="dxa"/>
            <w:left w:w="108" w:type="dxa"/>
            <w:bottom w:w="0" w:type="dxa"/>
            <w:right w:w="108" w:type="dxa"/>
          </w:tblCellMar>
        </w:tblPrEx>
        <w:trPr>
          <w:trHeight w:val="630"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周小薇</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13.36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周小薇</w:t>
            </w:r>
          </w:p>
        </w:tc>
      </w:tr>
      <w:tr>
        <w:tblPrEx>
          <w:tblLayout w:type="fixed"/>
          <w:tblCellMar>
            <w:top w:w="0" w:type="dxa"/>
            <w:left w:w="108" w:type="dxa"/>
            <w:bottom w:w="0" w:type="dxa"/>
            <w:right w:w="108" w:type="dxa"/>
          </w:tblCellMar>
        </w:tblPrEx>
        <w:trPr>
          <w:trHeight w:val="630"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林艳阳</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2.12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林艳阳</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5.报告期内与主要股东及其控股股东、实际控制人、关联方、一致行动人、最终受益人关联交易情况</w:t>
      </w:r>
    </w:p>
    <w:p>
      <w:pPr>
        <w:pStyle w:val="5"/>
        <w:ind w:left="0" w:leftChars="0" w:firstLine="0" w:firstLineChars="0"/>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单位：万元</w:t>
      </w:r>
    </w:p>
    <w:tbl>
      <w:tblPr>
        <w:tblStyle w:val="14"/>
        <w:tblW w:w="9119" w:type="dxa"/>
        <w:jc w:val="center"/>
        <w:tblInd w:w="0" w:type="dxa"/>
        <w:tblLayout w:type="fixed"/>
        <w:tblCellMar>
          <w:top w:w="0" w:type="dxa"/>
          <w:left w:w="108" w:type="dxa"/>
          <w:bottom w:w="0" w:type="dxa"/>
          <w:right w:w="108" w:type="dxa"/>
        </w:tblCellMar>
      </w:tblPr>
      <w:tblGrid>
        <w:gridCol w:w="3190"/>
        <w:gridCol w:w="3907"/>
        <w:gridCol w:w="2022"/>
      </w:tblGrid>
      <w:tr>
        <w:tblPrEx>
          <w:tblLayout w:type="fixed"/>
          <w:tblCellMar>
            <w:top w:w="0" w:type="dxa"/>
            <w:left w:w="108" w:type="dxa"/>
            <w:bottom w:w="0" w:type="dxa"/>
            <w:right w:w="108" w:type="dxa"/>
          </w:tblCellMar>
        </w:tblPrEx>
        <w:trPr>
          <w:trHeight w:val="1556"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主要股东</w:t>
            </w:r>
          </w:p>
        </w:tc>
        <w:tc>
          <w:tcPr>
            <w:tcW w:w="3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对该主要股东所在集团内单个主体的最高授信余额</w:t>
            </w:r>
          </w:p>
        </w:tc>
        <w:tc>
          <w:tcPr>
            <w:tcW w:w="20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对该集团合计授信余额</w:t>
            </w:r>
          </w:p>
        </w:tc>
      </w:tr>
      <w:tr>
        <w:tblPrEx>
          <w:tblLayout w:type="fixed"/>
          <w:tblCellMar>
            <w:top w:w="0" w:type="dxa"/>
            <w:left w:w="108" w:type="dxa"/>
            <w:bottom w:w="0" w:type="dxa"/>
            <w:right w:w="108" w:type="dxa"/>
          </w:tblCellMar>
        </w:tblPrEx>
        <w:trPr>
          <w:trHeight w:val="518" w:hRule="atLeast"/>
          <w:jc w:val="center"/>
        </w:trPr>
        <w:tc>
          <w:tcPr>
            <w:tcW w:w="31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c>
          <w:tcPr>
            <w:tcW w:w="39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30.00 </w:t>
            </w:r>
          </w:p>
        </w:tc>
        <w:tc>
          <w:tcPr>
            <w:tcW w:w="20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30.00 </w:t>
            </w:r>
          </w:p>
        </w:tc>
      </w:tr>
      <w:tr>
        <w:tblPrEx>
          <w:tblLayout w:type="fixed"/>
          <w:tblCellMar>
            <w:top w:w="0" w:type="dxa"/>
            <w:left w:w="108" w:type="dxa"/>
            <w:bottom w:w="0" w:type="dxa"/>
            <w:right w:w="108" w:type="dxa"/>
          </w:tblCellMar>
        </w:tblPrEx>
        <w:trPr>
          <w:trHeight w:val="576"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30.00 </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30.00 </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曾海金</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0.00 </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0.00 </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潘其森</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204.00 </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204.00 </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严艳娟</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197.66 </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197.66 </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赵宽</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0.00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0.00</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赖建平</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54.00 </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54.00 </w:t>
            </w:r>
          </w:p>
        </w:tc>
      </w:tr>
      <w:tr>
        <w:tblPrEx>
          <w:tblLayout w:type="fixed"/>
          <w:tblCellMar>
            <w:top w:w="0" w:type="dxa"/>
            <w:left w:w="108" w:type="dxa"/>
            <w:bottom w:w="0" w:type="dxa"/>
            <w:right w:w="108" w:type="dxa"/>
          </w:tblCellMar>
        </w:tblPrEx>
        <w:trPr>
          <w:trHeight w:val="639"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周小薇</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0.00 </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0.00 </w:t>
            </w:r>
          </w:p>
        </w:tc>
      </w:tr>
      <w:tr>
        <w:tblPrEx>
          <w:tblLayout w:type="fixed"/>
          <w:tblCellMar>
            <w:top w:w="0" w:type="dxa"/>
            <w:left w:w="108" w:type="dxa"/>
            <w:bottom w:w="0" w:type="dxa"/>
            <w:right w:w="108" w:type="dxa"/>
          </w:tblCellMar>
        </w:tblPrEx>
        <w:trPr>
          <w:trHeight w:val="639"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林艳阳</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5.00 </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5.00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6.股权出质情况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（1）股权出质基本情况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zh-CN" w:eastAsia="zh-CN"/>
        </w:rPr>
        <w:t>202</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zh-CN" w:eastAsia="zh-CN"/>
        </w:rPr>
        <w:t>年末股东总数</w:t>
      </w:r>
      <w:r>
        <w:rPr>
          <w:rFonts w:hint="eastAsia" w:ascii="仿宋_GB2312" w:hAnsi="仿宋_GB2312" w:eastAsia="仿宋_GB2312" w:cs="仿宋_GB2312"/>
          <w:b w:val="0"/>
          <w:bCs w:val="0"/>
          <w:color w:val="auto"/>
          <w:sz w:val="32"/>
          <w:szCs w:val="32"/>
          <w:highlight w:val="none"/>
          <w:lang w:val="en-US" w:eastAsia="zh-CN"/>
        </w:rPr>
        <w:t>985个，报告期出质股东户数13户，占本行股东总户数的1.32%，已出质股金金额707.58万元，占本行股本总额的4.62%；其中以股权质押反担保方式出质户数为0户、金额0万元，在其他农商银行出质13户、金额707.58万元，无在其他银行出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（2）主要股东出质股权情况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righ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单位：万元、%</w:t>
      </w:r>
    </w:p>
    <w:tbl>
      <w:tblPr>
        <w:tblStyle w:val="14"/>
        <w:tblW w:w="9117" w:type="dxa"/>
        <w:jc w:val="center"/>
        <w:tblInd w:w="0" w:type="dxa"/>
        <w:tblLayout w:type="fixed"/>
        <w:tblCellMar>
          <w:top w:w="0" w:type="dxa"/>
          <w:left w:w="0" w:type="dxa"/>
          <w:bottom w:w="0" w:type="dxa"/>
          <w:right w:w="0" w:type="dxa"/>
        </w:tblCellMar>
      </w:tblPr>
      <w:tblGrid>
        <w:gridCol w:w="4088"/>
        <w:gridCol w:w="1398"/>
        <w:gridCol w:w="1338"/>
        <w:gridCol w:w="2293"/>
      </w:tblGrid>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主要股东</w:t>
            </w:r>
          </w:p>
        </w:tc>
        <w:tc>
          <w:tcPr>
            <w:tcW w:w="13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持股份额</w:t>
            </w:r>
          </w:p>
        </w:tc>
        <w:tc>
          <w:tcPr>
            <w:tcW w:w="13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出质份额</w:t>
            </w:r>
          </w:p>
        </w:tc>
        <w:tc>
          <w:tcPr>
            <w:tcW w:w="22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出质份额占持股份额比例</w:t>
            </w:r>
          </w:p>
        </w:tc>
      </w:tr>
      <w:tr>
        <w:tblPrEx>
          <w:tblLayout w:type="fixed"/>
          <w:tblCellMar>
            <w:top w:w="0" w:type="dxa"/>
            <w:left w:w="0" w:type="dxa"/>
            <w:bottom w:w="0" w:type="dxa"/>
            <w:right w:w="0" w:type="dxa"/>
          </w:tblCellMar>
        </w:tblPrEx>
        <w:trPr>
          <w:trHeight w:val="23" w:hRule="atLeast"/>
          <w:jc w:val="center"/>
        </w:trPr>
        <w:tc>
          <w:tcPr>
            <w:tcW w:w="40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c>
          <w:tcPr>
            <w:tcW w:w="1398"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1528.95 </w:t>
            </w:r>
          </w:p>
        </w:tc>
        <w:tc>
          <w:tcPr>
            <w:tcW w:w="1338"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384.73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曾海金</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1.01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潘其森</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1.67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严艳娟</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51.05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赵宽</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9.78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赖建平</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15.20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周小薇</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13.36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林艳阳</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2.12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bl>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（3）其他情况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2023年度股东大会，对已出质股权的股东表决权</w:t>
      </w:r>
      <w:r>
        <w:rPr>
          <w:rFonts w:hint="eastAsia" w:ascii="仿宋_GB2312" w:hAnsi="仿宋_GB2312" w:eastAsia="仿宋_GB2312" w:cs="仿宋_GB2312"/>
          <w:color w:val="auto"/>
          <w:sz w:val="32"/>
          <w:szCs w:val="32"/>
          <w:highlight w:val="none"/>
        </w:rPr>
        <w:t>进行了限制</w:t>
      </w:r>
      <w:r>
        <w:rPr>
          <w:rFonts w:hint="eastAsia" w:ascii="仿宋_GB2312" w:hAnsi="仿宋_GB2312" w:eastAsia="仿宋_GB2312" w:cs="仿宋_GB2312"/>
          <w:color w:val="auto"/>
          <w:kern w:val="0"/>
          <w:sz w:val="32"/>
          <w:szCs w:val="32"/>
          <w:highlight w:val="none"/>
        </w:rPr>
        <w:t>；无涉及质押股权被拍卖股东。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cs="楷体_GB2312"/>
          <w:b/>
          <w:bCs w:val="0"/>
          <w:kern w:val="0"/>
          <w:sz w:val="32"/>
          <w:szCs w:val="32"/>
          <w:highlight w:val="none"/>
        </w:rPr>
      </w:pPr>
      <w:r>
        <w:rPr>
          <w:rFonts w:hint="eastAsia" w:ascii="楷体_GB2312" w:hAnsi="楷体_GB2312" w:eastAsia="楷体_GB2312" w:cs="楷体_GB2312"/>
          <w:b/>
          <w:bCs w:val="0"/>
          <w:kern w:val="0"/>
          <w:sz w:val="32"/>
          <w:szCs w:val="32"/>
          <w:highlight w:val="none"/>
          <w:lang w:eastAsia="zh-CN"/>
        </w:rPr>
        <w:t>（二）</w:t>
      </w:r>
      <w:r>
        <w:rPr>
          <w:rFonts w:hint="eastAsia" w:ascii="楷体_GB2312" w:hAnsi="楷体_GB2312" w:eastAsia="楷体_GB2312" w:cs="楷体_GB2312"/>
          <w:b/>
          <w:bCs w:val="0"/>
          <w:kern w:val="0"/>
          <w:sz w:val="32"/>
          <w:szCs w:val="32"/>
          <w:highlight w:val="none"/>
        </w:rPr>
        <w:t>资本充足</w:t>
      </w:r>
      <w:r>
        <w:rPr>
          <w:rFonts w:hint="eastAsia" w:ascii="楷体_GB2312" w:hAnsi="楷体_GB2312" w:eastAsia="楷体_GB2312" w:cs="楷体_GB2312"/>
          <w:b/>
          <w:bCs w:val="0"/>
          <w:kern w:val="0"/>
          <w:sz w:val="32"/>
          <w:szCs w:val="32"/>
          <w:highlight w:val="none"/>
          <w:lang w:eastAsia="zh-CN"/>
        </w:rPr>
        <w:t>率相关</w:t>
      </w:r>
      <w:r>
        <w:rPr>
          <w:rFonts w:hint="eastAsia" w:ascii="楷体_GB2312" w:hAnsi="楷体_GB2312" w:eastAsia="楷体_GB2312" w:cs="楷体_GB2312"/>
          <w:b/>
          <w:bCs w:val="0"/>
          <w:kern w:val="0"/>
          <w:sz w:val="32"/>
          <w:szCs w:val="32"/>
          <w:highlight w:val="none"/>
        </w:rPr>
        <w:t>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rPr>
        <w:t>《商业银行资本管理办法》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2023年11月1日</w:t>
      </w:r>
      <w:r>
        <w:rPr>
          <w:rFonts w:hint="eastAsia" w:ascii="仿宋_GB2312" w:hAnsi="仿宋_GB2312" w:eastAsia="仿宋_GB2312" w:cs="仿宋_GB2312"/>
          <w:sz w:val="32"/>
          <w:szCs w:val="32"/>
          <w:highlight w:val="none"/>
        </w:rPr>
        <w:t>国家金融监督管理总局</w:t>
      </w:r>
      <w:r>
        <w:rPr>
          <w:rFonts w:hint="eastAsia" w:ascii="仿宋_GB2312" w:hAnsi="仿宋_GB2312" w:eastAsia="仿宋_GB2312" w:cs="仿宋_GB2312"/>
          <w:sz w:val="32"/>
          <w:szCs w:val="32"/>
          <w:highlight w:val="none"/>
          <w:lang w:eastAsia="zh-CN"/>
        </w:rPr>
        <w:t>令第</w:t>
      </w:r>
      <w:r>
        <w:rPr>
          <w:rFonts w:hint="eastAsia" w:ascii="仿宋_GB2312" w:hAnsi="仿宋_GB2312" w:eastAsia="仿宋_GB2312" w:cs="仿宋_GB2312"/>
          <w:sz w:val="32"/>
          <w:szCs w:val="32"/>
          <w:highlight w:val="none"/>
          <w:lang w:val="en-US" w:eastAsia="zh-CN"/>
        </w:rPr>
        <w:t>4号</w:t>
      </w:r>
      <w:r>
        <w:rPr>
          <w:rFonts w:hint="eastAsia" w:ascii="仿宋_GB2312" w:hAnsi="仿宋_GB2312" w:eastAsia="仿宋_GB2312" w:cs="仿宋_GB2312"/>
          <w:sz w:val="32"/>
          <w:szCs w:val="32"/>
          <w:highlight w:val="none"/>
          <w:lang w:eastAsia="zh-CN"/>
        </w:rPr>
        <w:t>）（以下简称《办法》）规定，</w:t>
      </w:r>
      <w:r>
        <w:rPr>
          <w:rFonts w:hint="eastAsia" w:ascii="仿宋_GB2312" w:hAnsi="仿宋_GB2312" w:eastAsia="仿宋_GB2312" w:cs="仿宋_GB2312"/>
          <w:sz w:val="32"/>
          <w:szCs w:val="32"/>
          <w:highlight w:val="none"/>
        </w:rPr>
        <w:t>本行各级资本充足率最低要求如下：核心一级资本充足率不得低于7.5%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资本充足率不得低于8.5%。</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资</w:t>
      </w:r>
      <w:r>
        <w:rPr>
          <w:rFonts w:hint="default" w:ascii="仿宋_GB2312" w:hAnsi="仿宋_GB2312" w:eastAsia="仿宋_GB2312" w:cs="仿宋_GB2312"/>
          <w:b/>
          <w:bCs/>
          <w:sz w:val="32"/>
          <w:szCs w:val="32"/>
          <w:highlight w:val="none"/>
        </w:rPr>
        <w:t>本</w:t>
      </w:r>
      <w:r>
        <w:rPr>
          <w:rFonts w:hint="eastAsia" w:ascii="仿宋_GB2312" w:hAnsi="仿宋_GB2312" w:eastAsia="仿宋_GB2312" w:cs="仿宋_GB2312"/>
          <w:b/>
          <w:bCs/>
          <w:sz w:val="32"/>
          <w:szCs w:val="32"/>
          <w:highlight w:val="none"/>
        </w:rPr>
        <w:t>充足率及风险资产情况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办法》规定，本行机构划分标准适用于第三档商业银行，其中信用风险采用权重法计量，操作风险采用基本指标法计量。在计量资本充足率时，采用按照第三档商业银行统一的计量方法进行资本计量。截至2024年12月31日，</w:t>
      </w:r>
      <w:r>
        <w:rPr>
          <w:rFonts w:hint="eastAsia" w:ascii="仿宋_GB2312" w:hAnsi="仿宋_GB2312" w:eastAsia="仿宋_GB2312" w:cs="仿宋_GB2312"/>
          <w:sz w:val="32"/>
          <w:szCs w:val="32"/>
          <w:highlight w:val="none"/>
          <w:lang w:eastAsia="zh-CN"/>
        </w:rPr>
        <w:t>本行</w:t>
      </w:r>
      <w:r>
        <w:rPr>
          <w:rFonts w:hint="eastAsia" w:ascii="仿宋_GB2312" w:hAnsi="仿宋_GB2312" w:eastAsia="仿宋_GB2312" w:cs="仿宋_GB2312"/>
          <w:sz w:val="32"/>
          <w:szCs w:val="32"/>
          <w:highlight w:val="none"/>
        </w:rPr>
        <w:t>核心一级资本净额</w:t>
      </w:r>
      <w:r>
        <w:rPr>
          <w:rFonts w:hint="eastAsia" w:ascii="仿宋_GB2312" w:hAnsi="仿宋_GB2312" w:eastAsia="仿宋_GB2312" w:cs="仿宋_GB2312"/>
          <w:sz w:val="32"/>
          <w:szCs w:val="32"/>
          <w:highlight w:val="none"/>
          <w:lang w:val="en-US" w:eastAsia="zh-CN"/>
        </w:rPr>
        <w:t>84357.14</w:t>
      </w:r>
      <w:r>
        <w:rPr>
          <w:rFonts w:hint="eastAsia" w:ascii="仿宋_GB2312" w:hAnsi="仿宋_GB2312" w:eastAsia="仿宋_GB2312" w:cs="仿宋_GB2312"/>
          <w:sz w:val="32"/>
          <w:szCs w:val="32"/>
          <w:highlight w:val="none"/>
        </w:rPr>
        <w:t>万元，资本净额</w:t>
      </w:r>
      <w:r>
        <w:rPr>
          <w:rFonts w:hint="eastAsia" w:ascii="仿宋_GB2312" w:hAnsi="仿宋_GB2312" w:eastAsia="仿宋_GB2312" w:cs="仿宋_GB2312"/>
          <w:sz w:val="32"/>
          <w:szCs w:val="32"/>
          <w:highlight w:val="none"/>
          <w:lang w:val="en-US" w:eastAsia="zh-CN"/>
        </w:rPr>
        <w:t>142628.98</w:t>
      </w:r>
      <w:r>
        <w:rPr>
          <w:rFonts w:hint="eastAsia" w:ascii="仿宋_GB2312" w:hAnsi="仿宋_GB2312" w:eastAsia="仿宋_GB2312" w:cs="仿宋_GB2312"/>
          <w:sz w:val="32"/>
          <w:szCs w:val="32"/>
          <w:highlight w:val="none"/>
        </w:rPr>
        <w:t>万元，风险加权资产</w:t>
      </w:r>
      <w:r>
        <w:rPr>
          <w:rFonts w:hint="eastAsia" w:ascii="仿宋_GB2312" w:hAnsi="仿宋_GB2312" w:eastAsia="仿宋_GB2312" w:cs="仿宋_GB2312"/>
          <w:sz w:val="32"/>
          <w:szCs w:val="32"/>
          <w:highlight w:val="none"/>
          <w:lang w:val="en-US" w:eastAsia="zh-CN"/>
        </w:rPr>
        <w:t>596079.9</w:t>
      </w:r>
      <w:r>
        <w:rPr>
          <w:rFonts w:hint="eastAsia" w:ascii="仿宋_GB2312" w:hAnsi="仿宋_GB2312" w:eastAsia="仿宋_GB2312" w:cs="仿宋_GB2312"/>
          <w:sz w:val="32"/>
          <w:szCs w:val="32"/>
          <w:highlight w:val="none"/>
        </w:rPr>
        <w:t>万元，核心一级资本充足率为</w:t>
      </w:r>
      <w:r>
        <w:rPr>
          <w:rFonts w:hint="eastAsia" w:ascii="仿宋_GB2312" w:hAnsi="仿宋_GB2312" w:eastAsia="仿宋_GB2312" w:cs="仿宋_GB2312"/>
          <w:sz w:val="32"/>
          <w:szCs w:val="32"/>
          <w:highlight w:val="none"/>
          <w:lang w:val="en-US" w:eastAsia="zh-CN"/>
        </w:rPr>
        <w:t>14.15</w:t>
      </w:r>
      <w:r>
        <w:rPr>
          <w:rFonts w:hint="eastAsia" w:ascii="仿宋_GB2312" w:hAnsi="仿宋_GB2312" w:eastAsia="仿宋_GB2312" w:cs="仿宋_GB2312"/>
          <w:sz w:val="32"/>
          <w:szCs w:val="32"/>
          <w:highlight w:val="none"/>
        </w:rPr>
        <w:t>%，资本充足率为</w:t>
      </w:r>
      <w:r>
        <w:rPr>
          <w:rFonts w:hint="eastAsia" w:ascii="仿宋_GB2312" w:hAnsi="仿宋_GB2312" w:eastAsia="仿宋_GB2312" w:cs="仿宋_GB2312"/>
          <w:sz w:val="32"/>
          <w:szCs w:val="32"/>
          <w:highlight w:val="none"/>
          <w:lang w:val="en-US" w:eastAsia="zh-CN"/>
        </w:rPr>
        <w:t>23.93</w:t>
      </w:r>
      <w:r>
        <w:rPr>
          <w:rFonts w:hint="eastAsia" w:ascii="仿宋_GB2312" w:hAnsi="仿宋_GB2312" w:eastAsia="仿宋_GB2312" w:cs="仿宋_GB2312"/>
          <w:sz w:val="32"/>
          <w:szCs w:val="32"/>
          <w:highlight w:val="none"/>
        </w:rPr>
        <w:t>%；调整后表内外资产余额</w:t>
      </w:r>
      <w:r>
        <w:rPr>
          <w:rFonts w:hint="eastAsia" w:ascii="仿宋_GB2312" w:hAnsi="仿宋" w:eastAsia="仿宋_GB2312" w:cs="Arial Unicode MS"/>
          <w:color w:val="000000"/>
          <w:sz w:val="32"/>
          <w:szCs w:val="32"/>
          <w:highlight w:val="none"/>
        </w:rPr>
        <w:t>967902.72</w:t>
      </w:r>
      <w:r>
        <w:rPr>
          <w:rFonts w:hint="eastAsia" w:ascii="仿宋_GB2312" w:hAnsi="仿宋_GB2312" w:eastAsia="仿宋_GB2312" w:cs="仿宋_GB2312"/>
          <w:sz w:val="32"/>
          <w:szCs w:val="32"/>
          <w:highlight w:val="none"/>
        </w:rPr>
        <w:t>万元，杠杆率为</w:t>
      </w:r>
      <w:r>
        <w:rPr>
          <w:rFonts w:hint="eastAsia" w:ascii="仿宋_GB2312" w:hAnsi="仿宋_GB2312" w:eastAsia="仿宋_GB2312" w:cs="仿宋_GB2312"/>
          <w:sz w:val="32"/>
          <w:szCs w:val="32"/>
          <w:highlight w:val="none"/>
          <w:lang w:val="en-US" w:eastAsia="zh-CN"/>
        </w:rPr>
        <w:t>8.72</w:t>
      </w:r>
      <w:r>
        <w:rPr>
          <w:rFonts w:hint="eastAsia" w:ascii="仿宋_GB2312" w:hAnsi="仿宋_GB2312" w:eastAsia="仿宋_GB2312" w:cs="仿宋_GB2312"/>
          <w:sz w:val="32"/>
          <w:szCs w:val="32"/>
          <w:highlight w:val="none"/>
        </w:rPr>
        <w:t>%。核心一级资本充足率、资本充足率和杠杆率均高于监管部门要求的法定值。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关键审慎监管指标</w:t>
      </w:r>
      <w:r>
        <w:rPr>
          <w:rFonts w:hint="eastAsia" w:ascii="仿宋_GB2312" w:hAnsi="仿宋_GB2312" w:eastAsia="仿宋_GB2312" w:cs="仿宋_GB2312"/>
          <w:b/>
          <w:bCs/>
          <w:sz w:val="32"/>
          <w:szCs w:val="32"/>
          <w:highlight w:val="none"/>
          <w:lang w:val="en-US" w:eastAsia="zh-CN"/>
        </w:rPr>
        <w:t>及资本构成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根据《办法》规定，本</w:t>
      </w:r>
      <w:r>
        <w:rPr>
          <w:rFonts w:hint="eastAsia" w:ascii="仿宋_GB2312" w:hAnsi="仿宋_GB2312" w:eastAsia="仿宋_GB2312" w:cs="仿宋_GB2312"/>
          <w:sz w:val="32"/>
          <w:szCs w:val="32"/>
          <w:highlight w:val="none"/>
          <w:lang w:eastAsia="zh-CN"/>
        </w:rPr>
        <w:t>行</w:t>
      </w:r>
      <w:r>
        <w:rPr>
          <w:rFonts w:hint="eastAsia" w:ascii="仿宋_GB2312" w:hAnsi="仿宋_GB2312" w:eastAsia="仿宋_GB2312" w:cs="仿宋_GB2312"/>
          <w:sz w:val="32"/>
          <w:szCs w:val="32"/>
          <w:highlight w:val="none"/>
        </w:rPr>
        <w:t>需披露关键审慎监管指标及资本构成两张报表，具体如下：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仿宋_GB2312" w:eastAsia="楷体_GB2312" w:cs="仿宋_GB2312"/>
          <w:b/>
          <w:sz w:val="32"/>
          <w:szCs w:val="32"/>
          <w:highlight w:val="none"/>
          <w:lang w:val="en-US" w:eastAsia="zh-CN"/>
        </w:rPr>
      </w:pPr>
      <w:r>
        <w:rPr>
          <w:rFonts w:hint="eastAsia" w:ascii="楷体_GB2312" w:hAnsi="仿宋_GB2312" w:eastAsia="楷体_GB2312" w:cs="仿宋_GB2312"/>
          <w:b/>
          <w:sz w:val="32"/>
          <w:szCs w:val="32"/>
          <w:highlight w:val="none"/>
          <w:lang w:val="en-US" w:eastAsia="zh-CN"/>
        </w:rPr>
        <w:t xml:space="preserve">附表1  </w:t>
      </w:r>
      <w:r>
        <w:rPr>
          <w:rFonts w:ascii="楷体_GB2312" w:hAnsi="仿宋_GB2312" w:eastAsia="楷体_GB2312" w:cs="仿宋_GB2312"/>
          <w:b/>
          <w:sz w:val="32"/>
          <w:szCs w:val="32"/>
          <w:highlight w:val="none"/>
        </w:rPr>
        <w:t>关键审慎监管指标</w:t>
      </w:r>
      <w:r>
        <w:rPr>
          <w:rFonts w:hint="eastAsia" w:ascii="楷体_GB2312" w:hAnsi="仿宋_GB2312" w:eastAsia="楷体_GB2312" w:cs="仿宋_GB2312"/>
          <w:b/>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楷体_GB2312" w:hAnsi="仿宋_GB2312" w:eastAsia="楷体_GB2312" w:cs="仿宋_GB2312"/>
          <w:b/>
          <w:sz w:val="32"/>
          <w:szCs w:val="32"/>
          <w:highlight w:val="none"/>
          <w:lang w:val="en-US" w:eastAsia="zh-CN"/>
        </w:rPr>
      </w:pPr>
      <w:r>
        <w:rPr>
          <w:rFonts w:hint="eastAsia" w:ascii="楷体_GB2312" w:hAnsi="仿宋_GB2312" w:eastAsia="楷体_GB2312" w:cs="仿宋_GB2312"/>
          <w:b/>
          <w:sz w:val="32"/>
          <w:szCs w:val="32"/>
          <w:highlight w:val="none"/>
          <w:lang w:val="en-US" w:eastAsia="zh-CN"/>
        </w:rPr>
        <w:t xml:space="preserve">                                  单位：人民币万元  %</w:t>
      </w:r>
    </w:p>
    <w:tbl>
      <w:tblPr>
        <w:tblStyle w:val="14"/>
        <w:tblW w:w="90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719"/>
        <w:gridCol w:w="1680"/>
        <w:gridCol w:w="18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　</w:t>
            </w:r>
          </w:p>
        </w:tc>
        <w:tc>
          <w:tcPr>
            <w:tcW w:w="1680" w:type="dxa"/>
            <w:vAlign w:val="center"/>
          </w:tcPr>
          <w:p>
            <w:pPr>
              <w:snapToGrid w:val="0"/>
              <w:spacing w:line="480" w:lineRule="exact"/>
              <w:jc w:val="center"/>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lang w:val="en-US" w:eastAsia="zh-CN"/>
              </w:rPr>
              <w:t>上一期末（</w:t>
            </w:r>
            <w:r>
              <w:rPr>
                <w:rFonts w:ascii="仿宋_GB2312" w:hAnsi="仿宋" w:eastAsia="仿宋_GB2312" w:cs="Arial Unicode MS"/>
                <w:color w:val="000000"/>
                <w:sz w:val="28"/>
                <w:szCs w:val="28"/>
                <w:highlight w:val="none"/>
              </w:rPr>
              <w:t>T-1</w:t>
            </w:r>
            <w:r>
              <w:rPr>
                <w:rFonts w:hint="eastAsia" w:ascii="仿宋_GB2312" w:hAnsi="仿宋" w:eastAsia="仿宋_GB2312" w:cs="Arial Unicode MS"/>
                <w:color w:val="000000"/>
                <w:sz w:val="28"/>
                <w:szCs w:val="28"/>
                <w:highlight w:val="none"/>
                <w:lang w:val="en-US" w:eastAsia="zh-CN"/>
              </w:rPr>
              <w:t>）</w:t>
            </w:r>
          </w:p>
        </w:tc>
        <w:tc>
          <w:tcPr>
            <w:tcW w:w="1830" w:type="dxa"/>
            <w:tcBorders>
              <w:right w:val="single" w:color="auto" w:sz="4" w:space="0"/>
            </w:tcBorders>
            <w:vAlign w:val="center"/>
          </w:tcPr>
          <w:p>
            <w:pPr>
              <w:snapToGrid w:val="0"/>
              <w:spacing w:line="480" w:lineRule="exact"/>
              <w:jc w:val="center"/>
              <w:rPr>
                <w:rFonts w:ascii="仿宋_GB2312" w:hAnsi="仿宋" w:eastAsia="仿宋_GB2312" w:cs="Arial Unicode MS"/>
                <w:color w:val="000000"/>
                <w:sz w:val="28"/>
                <w:szCs w:val="28"/>
                <w:highlight w:val="none"/>
              </w:rPr>
            </w:pPr>
            <w:r>
              <w:rPr>
                <w:rFonts w:hint="default" w:ascii="仿宋_GB2312" w:hAnsi="仿宋" w:eastAsia="仿宋_GB2312" w:cs="Arial Unicode MS"/>
                <w:color w:val="000000"/>
                <w:sz w:val="28"/>
                <w:szCs w:val="28"/>
                <w:highlight w:val="none"/>
                <w:lang w:eastAsia="zh-CN"/>
              </w:rPr>
              <w:t>报告期</w:t>
            </w:r>
            <w:r>
              <w:rPr>
                <w:rFonts w:hint="eastAsia" w:ascii="仿宋_GB2312" w:hAnsi="仿宋" w:eastAsia="仿宋_GB2312" w:cs="Arial Unicode MS"/>
                <w:color w:val="000000"/>
                <w:sz w:val="28"/>
                <w:szCs w:val="28"/>
                <w:highlight w:val="none"/>
                <w:lang w:val="en-US" w:eastAsia="zh-CN"/>
              </w:rPr>
              <w:t>末（</w:t>
            </w:r>
            <w:r>
              <w:rPr>
                <w:rFonts w:ascii="仿宋_GB2312" w:hAnsi="仿宋" w:eastAsia="仿宋_GB2312" w:cs="Arial Unicode MS"/>
                <w:color w:val="000000"/>
                <w:sz w:val="28"/>
                <w:szCs w:val="28"/>
                <w:highlight w:val="none"/>
              </w:rPr>
              <w:t>T</w:t>
            </w:r>
            <w:r>
              <w:rPr>
                <w:rFonts w:hint="eastAsia" w:ascii="仿宋_GB2312" w:hAnsi="仿宋" w:eastAsia="仿宋_GB2312" w:cs="Arial Unicode MS"/>
                <w:color w:val="000000"/>
                <w:sz w:val="28"/>
                <w:szCs w:val="28"/>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9046" w:type="dxa"/>
            <w:gridSpan w:val="4"/>
            <w:tcBorders>
              <w:left w:val="single" w:color="auto" w:sz="4" w:space="0"/>
              <w:right w:val="single" w:color="auto" w:sz="4" w:space="0"/>
            </w:tcBorders>
            <w:shd w:val="clear" w:color="000000" w:fill="D9D9D9"/>
          </w:tcPr>
          <w:p>
            <w:pPr>
              <w:snapToGrid w:val="0"/>
              <w:spacing w:line="480" w:lineRule="exact"/>
              <w:jc w:val="left"/>
              <w:rPr>
                <w:rFonts w:ascii="仿宋_GB2312" w:hAnsi="仿宋" w:eastAsia="仿宋_GB2312" w:cs="Arial Unicode MS"/>
                <w:color w:val="000000"/>
                <w:sz w:val="28"/>
                <w:szCs w:val="28"/>
                <w:highlight w:val="none"/>
              </w:rPr>
            </w:pPr>
            <w:r>
              <w:rPr>
                <w:rFonts w:hint="eastAsia" w:ascii="仿宋_GB2312" w:hAnsi="仿宋" w:eastAsia="仿宋_GB2312" w:cs="Arial Unicode MS"/>
                <w:b/>
                <w:bCs/>
                <w:color w:val="000000"/>
                <w:sz w:val="28"/>
                <w:szCs w:val="28"/>
                <w:highlight w:val="none"/>
              </w:rPr>
              <w:t>可用资本（数额）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ascii="仿宋_GB2312" w:hAnsi="仿宋" w:eastAsia="仿宋_GB2312" w:cs="Arial Unicode MS"/>
                <w:color w:val="000000"/>
                <w:sz w:val="28"/>
                <w:szCs w:val="28"/>
                <w:highlight w:val="none"/>
              </w:rPr>
              <w:t>1</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核心一级资本净额</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77685.95</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84357.14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2</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资本净额</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133313.18</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142628.98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46" w:type="dxa"/>
            <w:gridSpan w:val="4"/>
            <w:tcBorders>
              <w:left w:val="single" w:color="auto" w:sz="4" w:space="0"/>
              <w:right w:val="single" w:color="auto" w:sz="4" w:space="0"/>
            </w:tcBorders>
            <w:shd w:val="clear" w:color="000000" w:fill="D9D9D9"/>
          </w:tcPr>
          <w:p>
            <w:pPr>
              <w:snapToGrid w:val="0"/>
              <w:spacing w:line="480" w:lineRule="exact"/>
              <w:jc w:val="left"/>
              <w:rPr>
                <w:rFonts w:ascii="仿宋_GB2312" w:hAnsi="仿宋" w:eastAsia="仿宋_GB2312" w:cs="Arial Unicode MS"/>
                <w:color w:val="000000"/>
                <w:sz w:val="28"/>
                <w:szCs w:val="28"/>
                <w:highlight w:val="none"/>
              </w:rPr>
            </w:pPr>
            <w:r>
              <w:rPr>
                <w:rFonts w:hint="eastAsia" w:ascii="仿宋_GB2312" w:hAnsi="仿宋" w:eastAsia="仿宋_GB2312" w:cs="Arial Unicode MS"/>
                <w:b/>
                <w:bCs/>
                <w:color w:val="000000"/>
                <w:sz w:val="28"/>
                <w:szCs w:val="28"/>
                <w:highlight w:val="none"/>
              </w:rPr>
              <w:t>风险加权资产（数额）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3</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信用风险加权资产</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519194.96</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536154.90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4</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操作风险加权资产</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59435.00</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59925.00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5</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风险加权资产合计</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578629.96</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596079.90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9046" w:type="dxa"/>
            <w:gridSpan w:val="4"/>
            <w:tcBorders>
              <w:left w:val="single" w:color="auto" w:sz="4" w:space="0"/>
              <w:right w:val="single" w:color="auto" w:sz="4" w:space="0"/>
            </w:tcBorders>
            <w:shd w:val="clear" w:color="000000" w:fill="D9D9D9"/>
          </w:tcPr>
          <w:p>
            <w:pPr>
              <w:snapToGrid w:val="0"/>
              <w:spacing w:line="480" w:lineRule="exact"/>
              <w:jc w:val="left"/>
              <w:rPr>
                <w:rFonts w:ascii="仿宋_GB2312" w:hAnsi="仿宋" w:eastAsia="仿宋_GB2312" w:cs="Arial Unicode MS"/>
                <w:color w:val="000000"/>
                <w:sz w:val="28"/>
                <w:szCs w:val="28"/>
                <w:highlight w:val="none"/>
              </w:rPr>
            </w:pPr>
            <w:r>
              <w:rPr>
                <w:rFonts w:hint="eastAsia" w:ascii="仿宋_GB2312" w:hAnsi="仿宋" w:eastAsia="仿宋_GB2312" w:cs="Arial Unicode MS"/>
                <w:b/>
                <w:bCs/>
                <w:color w:val="000000"/>
                <w:sz w:val="28"/>
                <w:szCs w:val="28"/>
                <w:highlight w:val="none"/>
              </w:rPr>
              <w:t>资本充足率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6</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核心一级资本充足率（</w:t>
            </w:r>
            <w:r>
              <w:rPr>
                <w:rFonts w:ascii="仿宋_GB2312" w:hAnsi="仿宋" w:eastAsia="仿宋_GB2312" w:cs="Arial Unicode MS"/>
                <w:color w:val="000000"/>
                <w:sz w:val="28"/>
                <w:szCs w:val="28"/>
                <w:highlight w:val="none"/>
              </w:rPr>
              <w:t>%）</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13.43</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14.15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7</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资本充足率（</w:t>
            </w:r>
            <w:r>
              <w:rPr>
                <w:rFonts w:ascii="仿宋_GB2312" w:hAnsi="仿宋" w:eastAsia="仿宋_GB2312" w:cs="Arial Unicode MS"/>
                <w:color w:val="000000"/>
                <w:sz w:val="28"/>
                <w:szCs w:val="28"/>
                <w:highlight w:val="none"/>
              </w:rPr>
              <w:t>%）</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23.04</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23.93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9046" w:type="dxa"/>
            <w:gridSpan w:val="4"/>
            <w:tcBorders>
              <w:left w:val="single" w:color="auto" w:sz="4" w:space="0"/>
              <w:right w:val="single" w:color="auto" w:sz="4" w:space="0"/>
            </w:tcBorders>
            <w:shd w:val="clear" w:color="000000" w:fill="D9D9D9"/>
          </w:tcPr>
          <w:p>
            <w:pPr>
              <w:snapToGrid w:val="0"/>
              <w:spacing w:line="480" w:lineRule="exact"/>
              <w:jc w:val="left"/>
              <w:rPr>
                <w:rFonts w:ascii="仿宋_GB2312" w:hAnsi="仿宋" w:eastAsia="仿宋_GB2312" w:cs="Arial Unicode MS"/>
                <w:color w:val="000000"/>
                <w:sz w:val="28"/>
                <w:szCs w:val="28"/>
                <w:highlight w:val="none"/>
              </w:rPr>
            </w:pPr>
            <w:r>
              <w:rPr>
                <w:rFonts w:hint="eastAsia" w:ascii="仿宋_GB2312" w:hAnsi="仿宋" w:eastAsia="仿宋_GB2312" w:cs="Arial Unicode MS"/>
                <w:b/>
                <w:bCs/>
                <w:color w:val="000000"/>
                <w:sz w:val="28"/>
                <w:szCs w:val="28"/>
                <w:highlight w:val="none"/>
              </w:rPr>
              <w:t>杠杆率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8</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调整后表内外资产余额</w:t>
            </w:r>
          </w:p>
        </w:tc>
        <w:tc>
          <w:tcPr>
            <w:tcW w:w="1680" w:type="dxa"/>
            <w:vAlign w:val="center"/>
          </w:tcPr>
          <w:p>
            <w:pPr>
              <w:snapToGrid w:val="0"/>
              <w:spacing w:line="480" w:lineRule="exact"/>
              <w:jc w:val="center"/>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913564.18</w:t>
            </w:r>
          </w:p>
        </w:tc>
        <w:tc>
          <w:tcPr>
            <w:tcW w:w="1830" w:type="dxa"/>
            <w:tcBorders>
              <w:right w:val="single" w:color="auto" w:sz="4" w:space="0"/>
            </w:tcBorders>
            <w:vAlign w:val="center"/>
          </w:tcPr>
          <w:p>
            <w:pPr>
              <w:snapToGrid w:val="0"/>
              <w:spacing w:line="480" w:lineRule="exact"/>
              <w:jc w:val="center"/>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967902.72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9</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_GB2312" w:eastAsia="仿宋_GB2312" w:cs="仿宋_GB2312"/>
                <w:color w:val="000000"/>
                <w:sz w:val="28"/>
                <w:szCs w:val="28"/>
                <w:highlight w:val="none"/>
              </w:rPr>
              <w:t>杠杆率</w:t>
            </w:r>
            <w:r>
              <w:rPr>
                <w:rFonts w:hint="eastAsia" w:ascii="仿宋_GB2312" w:hAnsi="仿宋" w:eastAsia="仿宋_GB2312" w:cs="Arial Unicode MS"/>
                <w:color w:val="000000"/>
                <w:sz w:val="28"/>
                <w:szCs w:val="28"/>
                <w:highlight w:val="none"/>
              </w:rPr>
              <w:t>（</w:t>
            </w:r>
            <w:r>
              <w:rPr>
                <w:rFonts w:ascii="仿宋_GB2312" w:hAnsi="仿宋" w:eastAsia="仿宋_GB2312" w:cs="Arial Unicode MS"/>
                <w:color w:val="000000"/>
                <w:sz w:val="28"/>
                <w:szCs w:val="28"/>
                <w:highlight w:val="none"/>
              </w:rPr>
              <w:t>%）</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8.50</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808080" w:themeColor="text1" w:themeTint="80"/>
                <w:sz w:val="28"/>
                <w:szCs w:val="28"/>
                <w:highlight w:val="none"/>
                <w:lang w:val="en-US" w:eastAsia="zh-CN"/>
                <w14:textFill>
                  <w14:solidFill>
                    <w14:schemeClr w14:val="tx1">
                      <w14:lumMod w14:val="50000"/>
                      <w14:lumOff w14:val="50000"/>
                    </w14:schemeClr>
                  </w14:solidFill>
                </w14:textFill>
              </w:rPr>
            </w:pPr>
            <w:r>
              <w:rPr>
                <w:rFonts w:hint="eastAsia" w:ascii="仿宋_GB2312" w:hAnsi="仿宋" w:eastAsia="仿宋_GB2312" w:cs="Arial Unicode MS"/>
                <w:color w:val="000000" w:themeColor="text1"/>
                <w:sz w:val="28"/>
                <w:szCs w:val="28"/>
                <w:highlight w:val="none"/>
                <w:lang w:val="en-US" w:eastAsia="zh-CN"/>
                <w14:textFill>
                  <w14:solidFill>
                    <w14:schemeClr w14:val="tx1"/>
                  </w14:solidFill>
                </w14:textFill>
              </w:rPr>
              <w:t>8.72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10</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_GB2312" w:eastAsia="仿宋_GB2312" w:cs="仿宋_GB2312"/>
                <w:color w:val="000000"/>
                <w:sz w:val="28"/>
                <w:szCs w:val="28"/>
                <w:highlight w:val="none"/>
              </w:rPr>
              <w:t>杠杆率a</w:t>
            </w:r>
            <w:r>
              <w:rPr>
                <w:rFonts w:hint="eastAsia" w:ascii="仿宋_GB2312" w:hAnsi="仿宋" w:eastAsia="仿宋_GB2312" w:cs="Arial Unicode MS"/>
                <w:color w:val="000000"/>
                <w:sz w:val="28"/>
                <w:szCs w:val="28"/>
                <w:highlight w:val="none"/>
              </w:rPr>
              <w:t>（</w:t>
            </w:r>
            <w:r>
              <w:rPr>
                <w:rFonts w:ascii="仿宋_GB2312" w:hAnsi="仿宋" w:eastAsia="仿宋_GB2312" w:cs="Arial Unicode MS"/>
                <w:color w:val="000000"/>
                <w:sz w:val="28"/>
                <w:szCs w:val="28"/>
                <w:highlight w:val="none"/>
              </w:rPr>
              <w:t>%）</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5.44</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eastAsia="zh-CN"/>
              </w:rPr>
            </w:pPr>
            <w:r>
              <w:rPr>
                <w:rFonts w:hint="default" w:ascii="仿宋_GB2312" w:hAnsi="仿宋" w:eastAsia="仿宋_GB2312" w:cs="Arial Unicode MS"/>
                <w:color w:val="000000"/>
                <w:sz w:val="28"/>
                <w:szCs w:val="28"/>
                <w:highlight w:val="none"/>
                <w:lang w:eastAsia="zh-CN"/>
              </w:rPr>
              <w:t>8.72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46" w:type="dxa"/>
            <w:gridSpan w:val="4"/>
            <w:tcBorders>
              <w:left w:val="single" w:color="auto" w:sz="4" w:space="0"/>
              <w:right w:val="single" w:color="auto" w:sz="4" w:space="0"/>
            </w:tcBorders>
            <w:shd w:val="clear" w:color="000000" w:fill="D9D9D9"/>
          </w:tcPr>
          <w:p>
            <w:pPr>
              <w:snapToGrid w:val="0"/>
              <w:spacing w:line="480" w:lineRule="exact"/>
              <w:jc w:val="left"/>
              <w:rPr>
                <w:rFonts w:ascii="仿宋_GB2312" w:hAnsi="仿宋" w:eastAsia="仿宋_GB2312" w:cs="Arial Unicode MS"/>
                <w:color w:val="000000"/>
                <w:sz w:val="28"/>
                <w:szCs w:val="28"/>
                <w:highlight w:val="none"/>
              </w:rPr>
            </w:pPr>
            <w:r>
              <w:rPr>
                <w:rFonts w:hint="eastAsia" w:ascii="仿宋_GB2312" w:hAnsi="仿宋" w:eastAsia="仿宋_GB2312" w:cs="Arial Unicode MS"/>
                <w:b/>
                <w:bCs/>
                <w:color w:val="000000"/>
                <w:sz w:val="28"/>
                <w:szCs w:val="28"/>
                <w:highlight w:val="none"/>
              </w:rPr>
              <w:t>流动性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11</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优质流动性资产充足率（</w:t>
            </w:r>
            <w:r>
              <w:rPr>
                <w:rFonts w:ascii="仿宋_GB2312" w:hAnsi="仿宋" w:eastAsia="仿宋_GB2312" w:cs="Arial Unicode MS"/>
                <w:color w:val="000000"/>
                <w:sz w:val="28"/>
                <w:szCs w:val="28"/>
                <w:highlight w:val="none"/>
              </w:rPr>
              <w:t>%）</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184.54</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219.63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12</w:t>
            </w:r>
          </w:p>
        </w:tc>
        <w:tc>
          <w:tcPr>
            <w:tcW w:w="4719" w:type="dxa"/>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流动性比例（</w:t>
            </w:r>
            <w:r>
              <w:rPr>
                <w:rFonts w:ascii="仿宋_GB2312" w:hAnsi="仿宋" w:eastAsia="仿宋_GB2312" w:cs="Arial Unicode MS"/>
                <w:color w:val="000000"/>
                <w:sz w:val="28"/>
                <w:szCs w:val="28"/>
                <w:highlight w:val="none"/>
              </w:rPr>
              <w:t>%）</w:t>
            </w:r>
          </w:p>
        </w:tc>
        <w:tc>
          <w:tcPr>
            <w:tcW w:w="1680" w:type="dxa"/>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45.97</w:t>
            </w:r>
          </w:p>
        </w:tc>
        <w:tc>
          <w:tcPr>
            <w:tcW w:w="1830"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40.34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shd w:val="clear" w:color="auto" w:fill="FFFFFF"/>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13</w:t>
            </w:r>
          </w:p>
        </w:tc>
        <w:tc>
          <w:tcPr>
            <w:tcW w:w="4719" w:type="dxa"/>
            <w:shd w:val="clear" w:color="auto" w:fill="FFFFFF"/>
            <w:vAlign w:val="center"/>
          </w:tcPr>
          <w:p>
            <w:pPr>
              <w:snapToGrid w:val="0"/>
              <w:spacing w:line="480" w:lineRule="exact"/>
              <w:rPr>
                <w:rFonts w:ascii="仿宋_GB2312" w:hAnsi="仿宋" w:eastAsia="仿宋_GB2312" w:cs="Arial Unicode MS"/>
                <w:color w:val="000000"/>
                <w:sz w:val="28"/>
                <w:szCs w:val="28"/>
                <w:highlight w:val="none"/>
              </w:rPr>
            </w:pPr>
            <w:r>
              <w:rPr>
                <w:rFonts w:hint="eastAsia" w:ascii="仿宋_GB2312" w:hAnsi="仿宋" w:eastAsia="仿宋_GB2312" w:cs="Arial Unicode MS"/>
                <w:color w:val="000000"/>
                <w:sz w:val="28"/>
                <w:szCs w:val="28"/>
                <w:highlight w:val="none"/>
              </w:rPr>
              <w:t>流动性匹配率（</w:t>
            </w:r>
            <w:r>
              <w:rPr>
                <w:rFonts w:ascii="仿宋_GB2312" w:hAnsi="仿宋" w:eastAsia="仿宋_GB2312" w:cs="Arial Unicode MS"/>
                <w:color w:val="000000"/>
                <w:sz w:val="28"/>
                <w:szCs w:val="28"/>
                <w:highlight w:val="none"/>
              </w:rPr>
              <w:t>%）</w:t>
            </w:r>
          </w:p>
        </w:tc>
        <w:tc>
          <w:tcPr>
            <w:tcW w:w="1680" w:type="dxa"/>
            <w:shd w:val="clear" w:color="auto" w:fill="FFFFFF"/>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159.93</w:t>
            </w:r>
          </w:p>
        </w:tc>
        <w:tc>
          <w:tcPr>
            <w:tcW w:w="1830" w:type="dxa"/>
            <w:tcBorders>
              <w:right w:val="single" w:color="auto" w:sz="4" w:space="0"/>
            </w:tcBorders>
            <w:shd w:val="clear" w:color="auto" w:fill="FFFFFF"/>
            <w:vAlign w:val="center"/>
          </w:tcPr>
          <w:p>
            <w:pPr>
              <w:snapToGrid w:val="0"/>
              <w:spacing w:line="480" w:lineRule="exact"/>
              <w:jc w:val="center"/>
              <w:rPr>
                <w:rFonts w:hint="default" w:ascii="仿宋_GB2312" w:hAnsi="仿宋" w:eastAsia="仿宋_GB2312" w:cs="Arial Unicode MS"/>
                <w:color w:val="000000"/>
                <w:sz w:val="28"/>
                <w:szCs w:val="28"/>
                <w:highlight w:val="none"/>
                <w:lang w:val="en-US" w:eastAsia="zh-CN"/>
              </w:rPr>
            </w:pPr>
            <w:r>
              <w:rPr>
                <w:rFonts w:hint="eastAsia" w:ascii="仿宋_GB2312" w:hAnsi="仿宋" w:eastAsia="仿宋_GB2312" w:cs="Arial Unicode MS"/>
                <w:color w:val="000000"/>
                <w:sz w:val="28"/>
                <w:szCs w:val="28"/>
                <w:highlight w:val="none"/>
                <w:lang w:val="en-US" w:eastAsia="zh-CN"/>
              </w:rPr>
              <w:t>153.45</w:t>
            </w:r>
          </w:p>
        </w:tc>
      </w:tr>
    </w:tbl>
    <w:p>
      <w:pPr>
        <w:spacing w:line="480" w:lineRule="exact"/>
        <w:rPr>
          <w:rFonts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 xml:space="preserve">附表2  </w:t>
      </w:r>
      <w:r>
        <w:rPr>
          <w:rFonts w:hint="eastAsia" w:ascii="楷体_GB2312" w:hAnsi="楷体_GB2312" w:eastAsia="楷体_GB2312" w:cs="楷体_GB2312"/>
          <w:b/>
          <w:bCs/>
          <w:color w:val="000000"/>
          <w:sz w:val="32"/>
          <w:szCs w:val="32"/>
          <w:highlight w:val="none"/>
        </w:rPr>
        <w:t>资本构成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 xml:space="preserve">                                 单位：人民币万元   %</w:t>
      </w:r>
    </w:p>
    <w:tbl>
      <w:tblPr>
        <w:tblStyle w:val="14"/>
        <w:tblW w:w="89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3"/>
        <w:gridCol w:w="6500"/>
        <w:gridCol w:w="19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63" w:type="dxa"/>
            <w:gridSpan w:val="2"/>
            <w:tcBorders>
              <w:left w:val="single" w:color="auto" w:sz="4" w:space="0"/>
            </w:tcBorders>
            <w:vAlign w:val="center"/>
          </w:tcPr>
          <w:p>
            <w:pPr>
              <w:spacing w:line="480" w:lineRule="exact"/>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项目</w:t>
            </w:r>
          </w:p>
        </w:tc>
        <w:tc>
          <w:tcPr>
            <w:tcW w:w="1907" w:type="dxa"/>
            <w:tcBorders>
              <w:right w:val="single" w:color="auto" w:sz="4" w:space="0"/>
            </w:tcBorders>
            <w:vAlign w:val="center"/>
          </w:tcPr>
          <w:p>
            <w:pPr>
              <w:spacing w:line="480" w:lineRule="exact"/>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w:t>
            </w:r>
          </w:p>
        </w:tc>
        <w:tc>
          <w:tcPr>
            <w:tcW w:w="6500" w:type="dxa"/>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实收资本和资本公积可计入部分</w:t>
            </w:r>
          </w:p>
        </w:tc>
        <w:tc>
          <w:tcPr>
            <w:tcW w:w="1907" w:type="dxa"/>
            <w:tcBorders>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i w:val="0"/>
                <w:color w:val="000000"/>
                <w:kern w:val="0"/>
                <w:sz w:val="28"/>
                <w:szCs w:val="28"/>
                <w:highlight w:val="none"/>
                <w:u w:val="none"/>
                <w:lang w:val="en-US" w:eastAsia="zh-CN" w:bidi="ar"/>
              </w:rPr>
              <w:t>16115.02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w:t>
            </w:r>
          </w:p>
        </w:tc>
        <w:tc>
          <w:tcPr>
            <w:tcW w:w="6500" w:type="dxa"/>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TW"/>
              </w:rPr>
              <w:t>留存收益</w:t>
            </w:r>
          </w:p>
        </w:tc>
        <w:tc>
          <w:tcPr>
            <w:tcW w:w="1907" w:type="dxa"/>
            <w:tcBorders>
              <w:right w:val="single" w:color="auto" w:sz="4" w:space="0"/>
            </w:tcBorders>
            <w:vAlign w:val="center"/>
          </w:tcPr>
          <w:p>
            <w:pPr>
              <w:spacing w:line="480" w:lineRule="exact"/>
              <w:jc w:val="both"/>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TW"/>
              </w:rPr>
              <w:t>82301.95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2a</w:t>
            </w:r>
          </w:p>
        </w:tc>
        <w:tc>
          <w:tcPr>
            <w:tcW w:w="6500" w:type="dxa"/>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盈余公积</w:t>
            </w:r>
          </w:p>
        </w:tc>
        <w:tc>
          <w:tcPr>
            <w:tcW w:w="1907" w:type="dxa"/>
            <w:tcBorders>
              <w:right w:val="single" w:color="auto" w:sz="4" w:space="0"/>
            </w:tcBorders>
            <w:vAlign w:val="center"/>
          </w:tcPr>
          <w:p>
            <w:pPr>
              <w:spacing w:line="480" w:lineRule="exac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15847.78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2b</w:t>
            </w:r>
          </w:p>
        </w:tc>
        <w:tc>
          <w:tcPr>
            <w:tcW w:w="6500" w:type="dxa"/>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一般风险准备</w:t>
            </w:r>
          </w:p>
        </w:tc>
        <w:tc>
          <w:tcPr>
            <w:tcW w:w="1907" w:type="dxa"/>
            <w:tcBorders>
              <w:right w:val="single" w:color="auto" w:sz="4" w:space="0"/>
            </w:tcBorders>
            <w:vAlign w:val="center"/>
          </w:tcPr>
          <w:p>
            <w:pPr>
              <w:spacing w:line="480" w:lineRule="exac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21326.51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2c</w:t>
            </w:r>
          </w:p>
        </w:tc>
        <w:tc>
          <w:tcPr>
            <w:tcW w:w="6500" w:type="dxa"/>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未分配利润</w:t>
            </w:r>
          </w:p>
        </w:tc>
        <w:tc>
          <w:tcPr>
            <w:tcW w:w="1907" w:type="dxa"/>
            <w:tcBorders>
              <w:right w:val="single" w:color="auto" w:sz="4" w:space="0"/>
            </w:tcBorders>
            <w:vAlign w:val="center"/>
          </w:tcPr>
          <w:p>
            <w:pPr>
              <w:spacing w:line="480" w:lineRule="exac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45127.66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3</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累计其他综合收益</w:t>
            </w:r>
          </w:p>
        </w:tc>
        <w:tc>
          <w:tcPr>
            <w:tcW w:w="1907" w:type="dxa"/>
            <w:tcBorders>
              <w:right w:val="single" w:color="auto" w:sz="4" w:space="0"/>
            </w:tcBorders>
            <w:shd w:val="clear" w:color="auto" w:fill="FFFFFF"/>
            <w:vAlign w:val="center"/>
          </w:tcPr>
          <w:p>
            <w:pPr>
              <w:spacing w:line="480" w:lineRule="exac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254.93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4</w:t>
            </w:r>
          </w:p>
        </w:tc>
        <w:tc>
          <w:tcPr>
            <w:tcW w:w="6500" w:type="dxa"/>
            <w:shd w:val="clear" w:color="auto" w:fill="FFFFFF"/>
            <w:vAlign w:val="center"/>
          </w:tcPr>
          <w:p>
            <w:pPr>
              <w:spacing w:line="480" w:lineRule="exac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监管调整前的核心一级资本</w:t>
            </w:r>
          </w:p>
        </w:tc>
        <w:tc>
          <w:tcPr>
            <w:tcW w:w="1907" w:type="dxa"/>
            <w:tcBorders>
              <w:right w:val="single" w:color="auto" w:sz="4" w:space="0"/>
            </w:tcBorders>
            <w:shd w:val="clear" w:color="auto" w:fill="FFFFFF"/>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98671.90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5</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商誉（</w:t>
            </w:r>
            <w:r>
              <w:rPr>
                <w:rFonts w:ascii="仿宋_GB2312" w:hAnsi="仿宋_GB2312" w:eastAsia="仿宋_GB2312" w:cs="仿宋_GB2312"/>
                <w:color w:val="000000"/>
                <w:sz w:val="28"/>
                <w:szCs w:val="28"/>
                <w:highlight w:val="none"/>
              </w:rPr>
              <w:t>扣除递延税负债</w:t>
            </w:r>
            <w:r>
              <w:rPr>
                <w:rFonts w:hint="eastAsia" w:ascii="仿宋_GB2312" w:hAnsi="仿宋_GB2312" w:eastAsia="仿宋_GB2312" w:cs="仿宋_GB2312"/>
                <w:color w:val="000000"/>
                <w:sz w:val="28"/>
                <w:szCs w:val="28"/>
                <w:highlight w:val="none"/>
              </w:rPr>
              <w:t>）</w:t>
            </w:r>
          </w:p>
        </w:tc>
        <w:tc>
          <w:tcPr>
            <w:tcW w:w="1907" w:type="dxa"/>
            <w:tcBorders>
              <w:right w:val="single" w:color="auto" w:sz="4" w:space="0"/>
            </w:tcBorders>
            <w:shd w:val="clear" w:color="auto" w:fill="FFFFFF"/>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其他无形资产（土地使用权除外）（扣除递延税负债）</w:t>
            </w:r>
          </w:p>
        </w:tc>
        <w:tc>
          <w:tcPr>
            <w:tcW w:w="1907" w:type="dxa"/>
            <w:tcBorders>
              <w:right w:val="single" w:color="auto" w:sz="4" w:space="0"/>
            </w:tcBorders>
            <w:shd w:val="clear" w:color="auto" w:fill="FFFFFF"/>
            <w:vAlign w:val="center"/>
          </w:tcPr>
          <w:p>
            <w:pPr>
              <w:spacing w:line="480" w:lineRule="exact"/>
              <w:jc w:val="left"/>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335.29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7</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TW"/>
              </w:rPr>
              <w:t>依赖未来盈利的由经营亏损引起的净递延税资产</w:t>
            </w:r>
          </w:p>
        </w:tc>
        <w:tc>
          <w:tcPr>
            <w:tcW w:w="1907" w:type="dxa"/>
            <w:tcBorders>
              <w:right w:val="single" w:color="auto" w:sz="4" w:space="0"/>
            </w:tcBorders>
            <w:shd w:val="clear" w:color="auto" w:fill="FFFFFF"/>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8</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TW"/>
              </w:rPr>
              <w:t>损失准备缺口</w:t>
            </w:r>
          </w:p>
        </w:tc>
        <w:tc>
          <w:tcPr>
            <w:tcW w:w="1907" w:type="dxa"/>
            <w:tcBorders>
              <w:right w:val="single" w:color="auto" w:sz="4" w:space="0"/>
            </w:tcBorders>
            <w:shd w:val="clear" w:color="auto" w:fill="FFFFFF"/>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9</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TW"/>
              </w:rPr>
              <w:t>直接或间接持有本银行的普通股</w:t>
            </w:r>
          </w:p>
        </w:tc>
        <w:tc>
          <w:tcPr>
            <w:tcW w:w="1907" w:type="dxa"/>
            <w:tcBorders>
              <w:right w:val="single" w:color="auto" w:sz="4" w:space="0"/>
            </w:tcBorders>
            <w:shd w:val="clear" w:color="auto" w:fill="FFFFFF"/>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10</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持有的金融机构一级资本工具</w:t>
            </w:r>
          </w:p>
        </w:tc>
        <w:tc>
          <w:tcPr>
            <w:tcW w:w="1907" w:type="dxa"/>
            <w:tcBorders>
              <w:right w:val="single" w:color="auto" w:sz="4" w:space="0"/>
            </w:tcBorders>
            <w:shd w:val="clear" w:color="auto" w:fill="FFFFFF"/>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13979.47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11</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lang w:eastAsia="zh-TW"/>
              </w:rPr>
            </w:pPr>
            <w:r>
              <w:rPr>
                <w:rFonts w:hint="eastAsia" w:ascii="仿宋_GB2312" w:hAnsi="仿宋_GB2312" w:eastAsia="仿宋_GB2312" w:cs="仿宋_GB2312"/>
                <w:color w:val="000000"/>
                <w:sz w:val="28"/>
                <w:szCs w:val="28"/>
                <w:highlight w:val="none"/>
              </w:rPr>
              <w:t>监管规定的其他应从核心一级资本中扣除的项目合计</w:t>
            </w:r>
          </w:p>
        </w:tc>
        <w:tc>
          <w:tcPr>
            <w:tcW w:w="1907" w:type="dxa"/>
            <w:tcBorders>
              <w:right w:val="single" w:color="auto" w:sz="4" w:space="0"/>
            </w:tcBorders>
            <w:shd w:val="clear" w:color="auto" w:fill="FFFFFF"/>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13979.47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12</w:t>
            </w:r>
          </w:p>
        </w:tc>
        <w:tc>
          <w:tcPr>
            <w:tcW w:w="6500" w:type="dxa"/>
            <w:shd w:val="clear" w:color="auto" w:fill="FFFFFF"/>
            <w:vAlign w:val="center"/>
          </w:tcPr>
          <w:p>
            <w:pPr>
              <w:spacing w:line="480" w:lineRule="exac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核心一级资本监管调整总和</w:t>
            </w:r>
          </w:p>
        </w:tc>
        <w:tc>
          <w:tcPr>
            <w:tcW w:w="1907" w:type="dxa"/>
            <w:tcBorders>
              <w:right w:val="single" w:color="auto" w:sz="4" w:space="0"/>
            </w:tcBorders>
            <w:shd w:val="clear" w:color="auto" w:fill="FFFFFF"/>
            <w:vAlign w:val="center"/>
          </w:tcPr>
          <w:p>
            <w:pPr>
              <w:spacing w:line="480" w:lineRule="exact"/>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14314.76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13</w:t>
            </w:r>
          </w:p>
        </w:tc>
        <w:tc>
          <w:tcPr>
            <w:tcW w:w="6500" w:type="dxa"/>
            <w:shd w:val="clear" w:color="auto" w:fill="FFFFFF"/>
            <w:vAlign w:val="center"/>
          </w:tcPr>
          <w:p>
            <w:pPr>
              <w:spacing w:line="480" w:lineRule="exac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核心一级资本净额</w:t>
            </w:r>
          </w:p>
        </w:tc>
        <w:tc>
          <w:tcPr>
            <w:tcW w:w="1907" w:type="dxa"/>
            <w:tcBorders>
              <w:right w:val="single" w:color="auto" w:sz="4" w:space="0"/>
            </w:tcBorders>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84357.14</w:t>
            </w:r>
            <w:r>
              <w:rPr>
                <w:rFonts w:hint="eastAsia" w:ascii="仿宋_GB2312" w:hAnsi="仿宋_GB2312" w:eastAsia="仿宋_GB2312" w:cs="仿宋_GB2312"/>
                <w:color w:val="000000"/>
                <w:sz w:val="28"/>
                <w:szCs w:val="28"/>
                <w:highlight w:val="none"/>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14</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监管认可的其他资本工具</w:t>
            </w:r>
          </w:p>
        </w:tc>
        <w:tc>
          <w:tcPr>
            <w:tcW w:w="1907" w:type="dxa"/>
            <w:tcBorders>
              <w:right w:val="single" w:color="auto" w:sz="4" w:space="0"/>
            </w:tcBorders>
            <w:shd w:val="clear" w:color="auto" w:fill="FFFFFF"/>
            <w:vAlign w:val="center"/>
          </w:tcPr>
          <w:p>
            <w:pPr>
              <w:spacing w:line="480" w:lineRule="exac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　</w:t>
            </w: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15</w:t>
            </w:r>
          </w:p>
        </w:tc>
        <w:tc>
          <w:tcPr>
            <w:tcW w:w="6500" w:type="dxa"/>
            <w:shd w:val="clear" w:color="auto" w:fill="FFFFFF"/>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TW"/>
              </w:rPr>
              <w:t>超额损失准备可计入部分</w:t>
            </w:r>
          </w:p>
        </w:tc>
        <w:tc>
          <w:tcPr>
            <w:tcW w:w="1907" w:type="dxa"/>
            <w:tcBorders>
              <w:right w:val="single" w:color="auto" w:sz="4" w:space="0"/>
            </w:tcBorders>
            <w:shd w:val="clear" w:color="auto" w:fill="FFFFFF"/>
            <w:vAlign w:val="center"/>
          </w:tcPr>
          <w:p>
            <w:pPr>
              <w:spacing w:line="480" w:lineRule="exact"/>
              <w:rPr>
                <w:rFonts w:hint="eastAsia" w:ascii="宋体" w:hAnsi="宋体" w:eastAsia="宋体" w:cs="宋体"/>
                <w:color w:val="000000"/>
                <w:sz w:val="28"/>
                <w:szCs w:val="28"/>
                <w:highlight w:val="none"/>
                <w:lang w:val="en-US" w:eastAsia="zh-CN"/>
              </w:rPr>
            </w:pPr>
            <w:r>
              <w:rPr>
                <w:rFonts w:hint="eastAsia" w:ascii="仿宋_GB2312" w:hAnsi="仿宋_GB2312" w:eastAsia="仿宋_GB2312" w:cs="仿宋_GB2312"/>
                <w:sz w:val="28"/>
                <w:szCs w:val="28"/>
                <w:highlight w:val="none"/>
                <w:lang w:val="en-US" w:eastAsia="zh-CN"/>
              </w:rPr>
              <w:t>58271.84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16</w:t>
            </w:r>
          </w:p>
        </w:tc>
        <w:tc>
          <w:tcPr>
            <w:tcW w:w="6500" w:type="dxa"/>
            <w:shd w:val="clear" w:color="auto" w:fill="FFFFFF"/>
            <w:vAlign w:val="center"/>
          </w:tcPr>
          <w:p>
            <w:pPr>
              <w:spacing w:line="480" w:lineRule="exac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监管调整前的其他资本</w:t>
            </w:r>
          </w:p>
        </w:tc>
        <w:tc>
          <w:tcPr>
            <w:tcW w:w="1907" w:type="dxa"/>
            <w:tcBorders>
              <w:right w:val="single" w:color="auto" w:sz="4" w:space="0"/>
            </w:tcBorders>
            <w:shd w:val="clear" w:color="auto" w:fill="FFFFFF"/>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17</w:t>
            </w:r>
          </w:p>
        </w:tc>
        <w:tc>
          <w:tcPr>
            <w:tcW w:w="6500" w:type="dxa"/>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持有的金融机构二级资本工具</w:t>
            </w:r>
          </w:p>
        </w:tc>
        <w:tc>
          <w:tcPr>
            <w:tcW w:w="1907" w:type="dxa"/>
            <w:tcBorders>
              <w:right w:val="single" w:color="auto" w:sz="4" w:space="0"/>
            </w:tcBorders>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18</w:t>
            </w:r>
          </w:p>
        </w:tc>
        <w:tc>
          <w:tcPr>
            <w:tcW w:w="6500" w:type="dxa"/>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持有本银行或第三档商业银行的其他资本工具</w:t>
            </w:r>
          </w:p>
        </w:tc>
        <w:tc>
          <w:tcPr>
            <w:tcW w:w="1907" w:type="dxa"/>
            <w:tcBorders>
              <w:right w:val="single" w:color="auto" w:sz="4" w:space="0"/>
            </w:tcBorders>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19</w:t>
            </w:r>
          </w:p>
        </w:tc>
        <w:tc>
          <w:tcPr>
            <w:tcW w:w="6500" w:type="dxa"/>
            <w:vAlign w:val="center"/>
          </w:tcPr>
          <w:p>
            <w:pPr>
              <w:spacing w:line="480" w:lineRule="exact"/>
              <w:rPr>
                <w:rFonts w:ascii="仿宋_GB2312" w:hAnsi="仿宋_GB2312" w:eastAsia="仿宋_GB2312" w:cs="仿宋_GB2312"/>
                <w:color w:val="000000"/>
                <w:sz w:val="28"/>
                <w:szCs w:val="28"/>
                <w:highlight w:val="none"/>
                <w:lang w:eastAsia="zh-TW"/>
              </w:rPr>
            </w:pPr>
            <w:r>
              <w:rPr>
                <w:rFonts w:hint="eastAsia" w:ascii="仿宋_GB2312" w:hAnsi="仿宋_GB2312" w:eastAsia="仿宋_GB2312" w:cs="仿宋_GB2312"/>
                <w:sz w:val="28"/>
                <w:szCs w:val="28"/>
                <w:highlight w:val="none"/>
              </w:rPr>
              <w:t>监管规定的其他应从其他资本中扣除的项目合计</w:t>
            </w:r>
          </w:p>
        </w:tc>
        <w:tc>
          <w:tcPr>
            <w:tcW w:w="1907" w:type="dxa"/>
            <w:tcBorders>
              <w:right w:val="single" w:color="auto" w:sz="4" w:space="0"/>
            </w:tcBorders>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20</w:t>
            </w:r>
          </w:p>
        </w:tc>
        <w:tc>
          <w:tcPr>
            <w:tcW w:w="6500" w:type="dxa"/>
            <w:vAlign w:val="center"/>
          </w:tcPr>
          <w:p>
            <w:pPr>
              <w:spacing w:line="480" w:lineRule="exac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其他资本监管调整总和</w:t>
            </w:r>
          </w:p>
        </w:tc>
        <w:tc>
          <w:tcPr>
            <w:tcW w:w="1907" w:type="dxa"/>
            <w:tcBorders>
              <w:right w:val="single" w:color="auto" w:sz="4" w:space="0"/>
            </w:tcBorders>
            <w:vAlign w:val="center"/>
          </w:tcPr>
          <w:p>
            <w:pPr>
              <w:spacing w:line="480" w:lineRule="exact"/>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21</w:t>
            </w:r>
          </w:p>
        </w:tc>
        <w:tc>
          <w:tcPr>
            <w:tcW w:w="6500" w:type="dxa"/>
            <w:vAlign w:val="center"/>
          </w:tcPr>
          <w:p>
            <w:pPr>
              <w:spacing w:line="480" w:lineRule="exac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其他资本净额</w:t>
            </w:r>
          </w:p>
        </w:tc>
        <w:tc>
          <w:tcPr>
            <w:tcW w:w="1907" w:type="dxa"/>
            <w:tcBorders>
              <w:right w:val="single" w:color="auto" w:sz="4" w:space="0"/>
            </w:tcBorders>
            <w:vAlign w:val="center"/>
          </w:tcPr>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0</w:t>
            </w:r>
            <w:r>
              <w:rPr>
                <w:rFonts w:hint="eastAsia" w:ascii="仿宋_GB2312" w:hAnsi="仿宋_GB2312" w:eastAsia="仿宋_GB2312" w:cs="仿宋_GB2312"/>
                <w:color w:val="000000"/>
                <w:sz w:val="28"/>
                <w:szCs w:val="28"/>
                <w:highlight w:val="none"/>
                <w:lang w:eastAsia="zh-TW"/>
              </w:rPr>
              <w: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22</w:t>
            </w:r>
          </w:p>
        </w:tc>
        <w:tc>
          <w:tcPr>
            <w:tcW w:w="6500" w:type="dxa"/>
            <w:vAlign w:val="center"/>
          </w:tcPr>
          <w:p>
            <w:pPr>
              <w:spacing w:line="480" w:lineRule="exac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总资本净额</w:t>
            </w:r>
          </w:p>
        </w:tc>
        <w:tc>
          <w:tcPr>
            <w:tcW w:w="1907" w:type="dxa"/>
            <w:tcBorders>
              <w:right w:val="single" w:color="auto" w:sz="4" w:space="0"/>
            </w:tcBorders>
            <w:vAlign w:val="center"/>
          </w:tcPr>
          <w:p>
            <w:pPr>
              <w:spacing w:line="480" w:lineRule="exact"/>
              <w:jc w:val="both"/>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142628.98</w:t>
            </w:r>
          </w:p>
        </w:tc>
      </w:tr>
    </w:tbl>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b/>
          <w:sz w:val="32"/>
          <w:szCs w:val="32"/>
          <w:highlight w:val="none"/>
          <w:lang w:eastAsia="zh-CN"/>
        </w:rPr>
      </w:pPr>
      <w:r>
        <w:rPr>
          <w:rFonts w:hint="eastAsia" w:ascii="楷体_GB2312" w:eastAsia="楷体_GB2312"/>
          <w:b/>
          <w:sz w:val="32"/>
          <w:szCs w:val="32"/>
          <w:highlight w:val="none"/>
          <w:lang w:eastAsia="zh-CN"/>
        </w:rPr>
        <w:t>（三）薪酬情况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eastAsia="zh-CN"/>
        </w:rPr>
      </w:pPr>
      <w:r>
        <w:rPr>
          <w:rFonts w:hint="eastAsia" w:ascii="仿宋_GB2312" w:hAnsi="仿宋" w:eastAsia="仿宋_GB2312"/>
          <w:b/>
          <w:bCs/>
          <w:color w:val="auto"/>
          <w:spacing w:val="0"/>
          <w:sz w:val="32"/>
          <w:szCs w:val="32"/>
          <w:highlight w:val="none"/>
          <w:lang w:val="en-US" w:eastAsia="zh-CN"/>
        </w:rPr>
        <w:t>1.</w:t>
      </w:r>
      <w:r>
        <w:rPr>
          <w:rFonts w:hint="eastAsia" w:ascii="仿宋_GB2312" w:hAnsi="仿宋" w:eastAsia="仿宋_GB2312"/>
          <w:b/>
          <w:bCs/>
          <w:color w:val="auto"/>
          <w:spacing w:val="0"/>
          <w:sz w:val="32"/>
          <w:szCs w:val="32"/>
          <w:highlight w:val="none"/>
        </w:rPr>
        <w:t>薪酬</w:t>
      </w:r>
      <w:r>
        <w:rPr>
          <w:rFonts w:hint="eastAsia" w:ascii="仿宋_GB2312" w:hAnsi="仿宋" w:eastAsia="仿宋_GB2312"/>
          <w:b/>
          <w:bCs/>
          <w:color w:val="auto"/>
          <w:spacing w:val="0"/>
          <w:sz w:val="32"/>
          <w:szCs w:val="32"/>
          <w:highlight w:val="none"/>
          <w:lang w:eastAsia="zh-CN"/>
        </w:rPr>
        <w:t>管理框架及决策程序</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hAnsi="仿宋" w:eastAsia="仿宋_GB2312"/>
          <w:color w:val="auto"/>
          <w:spacing w:val="0"/>
          <w:sz w:val="32"/>
          <w:szCs w:val="32"/>
          <w:highlight w:val="none"/>
        </w:rPr>
        <w:t>成立绩效考核领导小组（简称绩效考核小组），由董事长任组长，行长任常务副组长，其他领导班子任副组长，成员为各部室负责人。领导小组下设办公室于人力资源部。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2.年度薪酬总量、受益人及薪酬结构分布</w:t>
      </w:r>
    </w:p>
    <w:p>
      <w:pPr>
        <w:pStyle w:val="5"/>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val="en-US" w:eastAsia="zh-CN"/>
        </w:rPr>
      </w:pPr>
      <w:r>
        <w:rPr>
          <w:rFonts w:hint="eastAsia" w:ascii="仿宋_GB2312" w:hAnsi="仿宋" w:eastAsia="仿宋_GB2312" w:cs="Times New Roman"/>
          <w:color w:val="auto"/>
          <w:spacing w:val="0"/>
          <w:kern w:val="2"/>
          <w:sz w:val="32"/>
          <w:szCs w:val="32"/>
          <w:highlight w:val="none"/>
          <w:lang w:val="en-US" w:eastAsia="zh-CN" w:bidi="ar-SA"/>
        </w:rPr>
        <w:t>报告期内，本行基本薪酬 1640万元。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3.薪酬与业绩衡量、风险调整的标准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本行薪酬制定坚持“合规管理、风险可控”的原则，统筹业务发展与风险防控，做到稳健经营、合规引领，建立兼顾效益与风险，当期成果与可持续发展的绩效考核指标体系，全面客观地实施绩效考核。坚持“全额挂钩、考核到人”的原则。除员工的基本薪酬以外，绩效薪酬同工同酬，全额与业绩挂钩，将绩效薪酬考核的目标、内容、方法、标准等直接落实到每一个员工，直接将绩效薪酬计发到员工个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4.薪酬延期支付和非现金薪酬情况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sz w:val="32"/>
          <w:szCs w:val="32"/>
          <w:highlight w:val="none"/>
        </w:rPr>
        <w:t>鉴于经营风险，特别是贷款风险的滞后性，本行按照短期利益与长期目标相结合的原则，对主要高级管理人员绩效薪酬延期支付比例为</w:t>
      </w:r>
      <w:r>
        <w:rPr>
          <w:rFonts w:hint="eastAsia" w:ascii="仿宋_GB2312" w:eastAsia="仿宋_GB2312"/>
          <w:sz w:val="32"/>
          <w:szCs w:val="32"/>
          <w:highlight w:val="none"/>
          <w:lang w:val="en-US" w:eastAsia="zh-CN"/>
        </w:rPr>
        <w:t>50</w:t>
      </w:r>
      <w:r>
        <w:rPr>
          <w:rFonts w:hint="eastAsia" w:ascii="仿宋_GB2312" w:eastAsia="仿宋_GB2312"/>
          <w:sz w:val="32"/>
          <w:szCs w:val="32"/>
          <w:highlight w:val="none"/>
        </w:rPr>
        <w:t>%，其他高级管理人员和关键岗位人员比例为40%，绩效薪酬延期支付期限均为</w:t>
      </w:r>
      <w:r>
        <w:rPr>
          <w:rFonts w:hint="eastAsia" w:ascii="仿宋_GB2312" w:eastAsia="仿宋_GB2312"/>
          <w:color w:val="auto"/>
          <w:sz w:val="32"/>
          <w:szCs w:val="32"/>
          <w:highlight w:val="none"/>
        </w:rPr>
        <w:t>三年。202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年度本行计提延期支付薪酬金额</w:t>
      </w:r>
      <w:r>
        <w:rPr>
          <w:rFonts w:hint="eastAsia" w:ascii="仿宋_GB2312" w:eastAsia="仿宋_GB2312"/>
          <w:color w:val="auto"/>
          <w:sz w:val="32"/>
          <w:szCs w:val="32"/>
          <w:highlight w:val="none"/>
          <w:lang w:val="en-US" w:eastAsia="zh-CN"/>
        </w:rPr>
        <w:t>390.65</w:t>
      </w:r>
      <w:r>
        <w:rPr>
          <w:rFonts w:hint="eastAsia" w:ascii="仿宋_GB2312" w:eastAsia="仿宋_GB2312"/>
          <w:color w:val="auto"/>
          <w:sz w:val="32"/>
          <w:szCs w:val="32"/>
          <w:highlight w:val="none"/>
        </w:rPr>
        <w:t>万元，支付延期支付薪酬金额</w:t>
      </w:r>
      <w:r>
        <w:rPr>
          <w:rFonts w:hint="eastAsia" w:ascii="仿宋_GB2312" w:eastAsia="仿宋_GB2312"/>
          <w:color w:val="auto"/>
          <w:sz w:val="32"/>
          <w:szCs w:val="32"/>
          <w:highlight w:val="none"/>
          <w:lang w:val="en-US" w:eastAsia="zh-CN"/>
        </w:rPr>
        <w:t>183.12</w:t>
      </w:r>
      <w:r>
        <w:rPr>
          <w:rFonts w:hint="eastAsia" w:ascii="仿宋_GB2312" w:eastAsia="仿宋_GB2312"/>
          <w:color w:val="auto"/>
          <w:sz w:val="32"/>
          <w:szCs w:val="32"/>
          <w:highlight w:val="none"/>
        </w:rPr>
        <w:t>万元（包含近三年延期支付分期兑现）。</w:t>
      </w:r>
      <w:r>
        <w:rPr>
          <w:rFonts w:hint="eastAsia" w:ascii="仿宋_GB2312" w:eastAsia="仿宋_GB2312"/>
          <w:color w:val="auto"/>
          <w:sz w:val="32"/>
          <w:szCs w:val="32"/>
          <w:highlight w:val="none"/>
          <w:lang w:eastAsia="zh-CN"/>
        </w:rPr>
        <w:t>报告期内，本行未执行非现金薪酬。</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5.董事会、高级管理层和对银行风险有重要影响岗位员工薪酬情况</w:t>
      </w:r>
    </w:p>
    <w:p>
      <w:pPr>
        <w:pStyle w:val="5"/>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202</w:t>
      </w:r>
      <w:r>
        <w:rPr>
          <w:rFonts w:hint="eastAsia" w:ascii="仿宋_GB2312" w:eastAsia="仿宋_GB2312" w:cs="Times New Roman"/>
          <w:kern w:val="2"/>
          <w:sz w:val="32"/>
          <w:szCs w:val="32"/>
          <w:highlight w:val="none"/>
          <w:lang w:val="en-US" w:eastAsia="zh-CN" w:bidi="ar-SA"/>
        </w:rPr>
        <w:t>4</w:t>
      </w:r>
      <w:r>
        <w:rPr>
          <w:rFonts w:hint="eastAsia" w:ascii="仿宋_GB2312" w:hAnsi="Times New Roman" w:eastAsia="仿宋_GB2312" w:cs="Times New Roman"/>
          <w:kern w:val="2"/>
          <w:sz w:val="32"/>
          <w:szCs w:val="32"/>
          <w:highlight w:val="none"/>
          <w:lang w:val="en-US" w:eastAsia="zh-CN" w:bidi="ar-SA"/>
        </w:rPr>
        <w:t>年度，</w:t>
      </w:r>
      <w:r>
        <w:rPr>
          <w:rFonts w:hint="eastAsia" w:ascii="仿宋_GB2312" w:eastAsia="仿宋_GB2312" w:cs="Times New Roman"/>
          <w:kern w:val="2"/>
          <w:sz w:val="32"/>
          <w:szCs w:val="32"/>
          <w:highlight w:val="none"/>
          <w:lang w:val="en-US" w:eastAsia="zh-CN" w:bidi="ar-SA"/>
        </w:rPr>
        <w:t>本行董事会、高级管理层等关键管理人员薪酬按照省行核定标准计发，本行绩效薪酬分配倾向于对风险有重要影响岗位和一线创造效益的员工。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6.年度薪酬方案制定、备案及经济、风险和社会责任指标完成考核情况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年度，本行严格遵照《商业银行稳健薪酬监管指引》《关于建立完善银行保险机构绩效薪酬追索扣回机制指导意见》等相关规定，</w:t>
      </w:r>
      <w:r>
        <w:rPr>
          <w:rFonts w:hint="eastAsia" w:ascii="仿宋_GB2312" w:eastAsia="仿宋_GB2312"/>
          <w:sz w:val="32"/>
          <w:szCs w:val="32"/>
          <w:highlight w:val="none"/>
          <w:lang w:eastAsia="zh-CN"/>
        </w:rPr>
        <w:t>制定了《寻乌农商银行202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年绩效考核方案》，</w:t>
      </w:r>
      <w:r>
        <w:rPr>
          <w:rFonts w:hint="eastAsia" w:ascii="仿宋_GB2312" w:eastAsia="仿宋_GB2312"/>
          <w:sz w:val="32"/>
          <w:szCs w:val="32"/>
          <w:highlight w:val="none"/>
        </w:rPr>
        <w:t>绩效考核内容覆盖合规经营、风险管理、经营效益、转型发展和社会责任五大类指标。</w:t>
      </w:r>
      <w:r>
        <w:rPr>
          <w:rFonts w:hint="eastAsia" w:ascii="仿宋_GB2312" w:eastAsia="仿宋_GB2312"/>
          <w:sz w:val="32"/>
          <w:szCs w:val="32"/>
          <w:highlight w:val="none"/>
          <w:lang w:eastAsia="zh-CN"/>
        </w:rPr>
        <w:t>其中</w:t>
      </w:r>
      <w:r>
        <w:rPr>
          <w:rFonts w:hint="eastAsia" w:ascii="仿宋_GB2312" w:hAnsi="仿宋_GB2312" w:eastAsia="仿宋_GB2312" w:cs="仿宋_GB2312"/>
          <w:b w:val="0"/>
          <w:bCs w:val="0"/>
          <w:kern w:val="2"/>
          <w:sz w:val="32"/>
          <w:szCs w:val="32"/>
          <w:highlight w:val="none"/>
          <w:lang w:val="en-US" w:eastAsia="zh-CN" w:bidi="ar"/>
        </w:rPr>
        <w:t>合规经营类指标和风险管理类指标权重合计45%，明显高于其他类指标。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7.超出原定薪酬方案的例外情况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报告期内，本行无超出原定薪酬方案的例外情况。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b/>
          <w:sz w:val="32"/>
          <w:szCs w:val="32"/>
          <w:highlight w:val="none"/>
          <w:lang w:eastAsia="zh-CN"/>
        </w:rPr>
      </w:pPr>
      <w:r>
        <w:rPr>
          <w:rFonts w:hint="eastAsia" w:ascii="楷体_GB2312" w:eastAsia="楷体_GB2312"/>
          <w:b/>
          <w:sz w:val="32"/>
          <w:szCs w:val="32"/>
          <w:highlight w:val="none"/>
          <w:lang w:val="en-US" w:eastAsia="zh-CN"/>
        </w:rPr>
        <w:t>（四）其他</w:t>
      </w:r>
      <w:r>
        <w:rPr>
          <w:rFonts w:hint="eastAsia" w:ascii="楷体_GB2312" w:eastAsia="楷体_GB2312"/>
          <w:b/>
          <w:sz w:val="32"/>
          <w:szCs w:val="32"/>
          <w:highlight w:val="none"/>
          <w:lang w:eastAsia="zh-CN"/>
        </w:rPr>
        <w:t>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eastAsia="仿宋_GB2312" w:cs="Times New Roman"/>
          <w:sz w:val="32"/>
          <w:szCs w:val="32"/>
          <w:highlight w:val="none"/>
          <w:lang w:val="en-US" w:eastAsia="zh-CN"/>
        </w:rPr>
        <w:t>1.</w:t>
      </w:r>
      <w:r>
        <w:rPr>
          <w:rFonts w:hint="eastAsia" w:ascii="仿宋_GB2312" w:hAnsi="Times New Roman" w:eastAsia="仿宋_GB2312" w:cs="Times New Roman"/>
          <w:sz w:val="32"/>
          <w:szCs w:val="32"/>
          <w:highlight w:val="none"/>
        </w:rPr>
        <w:t>报告期内，无重大诉讼、仲裁事项。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报告期内，未发生重大案件、重大差错等情况。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报告期内本行各项业务合同履行情况正常，无重大合同纠纷发生。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eastAsia="zh-CN"/>
        </w:rPr>
      </w:pP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报告期内，本行被赣州</w:t>
      </w:r>
      <w:r>
        <w:rPr>
          <w:rFonts w:hint="eastAsia" w:ascii="仿宋_GB2312" w:eastAsia="仿宋_GB2312" w:cs="Times New Roman"/>
          <w:color w:val="auto"/>
          <w:sz w:val="32"/>
          <w:szCs w:val="32"/>
          <w:highlight w:val="none"/>
          <w:lang w:eastAsia="zh-CN"/>
        </w:rPr>
        <w:t>金融</w:t>
      </w:r>
      <w:r>
        <w:rPr>
          <w:rFonts w:hint="eastAsia" w:ascii="仿宋_GB2312" w:hAnsi="Times New Roman" w:eastAsia="仿宋_GB2312" w:cs="Times New Roman"/>
          <w:color w:val="auto"/>
          <w:sz w:val="32"/>
          <w:szCs w:val="32"/>
          <w:highlight w:val="none"/>
        </w:rPr>
        <w:t>监管分局予以罚款人民币85万元。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5.</w:t>
      </w:r>
      <w:r>
        <w:rPr>
          <w:rFonts w:ascii="仿宋_GB2312" w:eastAsia="仿宋_GB2312"/>
          <w:color w:val="auto"/>
          <w:sz w:val="32"/>
          <w:szCs w:val="32"/>
          <w:highlight w:val="none"/>
        </w:rPr>
        <w:t>报告期内，因工作调整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赵宽同志</w:t>
      </w:r>
      <w:r>
        <w:rPr>
          <w:rFonts w:hint="eastAsia" w:ascii="仿宋_GB2312" w:eastAsia="仿宋_GB2312"/>
          <w:color w:val="auto"/>
          <w:sz w:val="32"/>
          <w:szCs w:val="32"/>
          <w:highlight w:val="none"/>
          <w:lang w:eastAsia="zh-CN"/>
        </w:rPr>
        <w:t>担任寻乌农商银行</w:t>
      </w:r>
      <w:r>
        <w:rPr>
          <w:rFonts w:hint="eastAsia" w:ascii="仿宋_GB2312" w:eastAsia="仿宋_GB2312"/>
          <w:color w:val="auto"/>
          <w:sz w:val="32"/>
          <w:szCs w:val="32"/>
          <w:highlight w:val="none"/>
          <w:lang w:val="en-US" w:eastAsia="zh-CN"/>
        </w:rPr>
        <w:t>党委委员、提名行长人选；潘其森同志因到龄不再担任寻乌农商银行行长职务</w:t>
      </w:r>
      <w:r>
        <w:rPr>
          <w:rFonts w:hint="eastAsia" w:ascii="仿宋_GB2312" w:hAnsi="Times New Roman" w:eastAsia="仿宋_GB2312" w:cs="Times New Roman"/>
          <w:color w:val="auto"/>
          <w:sz w:val="32"/>
          <w:szCs w:val="32"/>
          <w:highlight w:val="none"/>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除上述事项外，截至202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年12月31日，本行无需要披露的其他重要事项。</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汉仪仿宋KW">
    <w:altName w:val="仿宋"/>
    <w:panose1 w:val="00020600040101010101"/>
    <w:charset w:val="86"/>
    <w:family w:val="auto"/>
    <w:pitch w:val="default"/>
    <w:sig w:usb0="00000000" w:usb1="00000000" w:usb2="00000016"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10FCC"/>
    <w:multiLevelType w:val="singleLevel"/>
    <w:tmpl w:val="66710FCC"/>
    <w:lvl w:ilvl="0" w:tentative="0">
      <w:start w:val="5"/>
      <w:numFmt w:val="decimal"/>
      <w:suff w:val="nothing"/>
      <w:lvlText w:val="%1."/>
      <w:lvlJc w:val="left"/>
    </w:lvl>
  </w:abstractNum>
  <w:abstractNum w:abstractNumId="1">
    <w:nsid w:val="667110F5"/>
    <w:multiLevelType w:val="singleLevel"/>
    <w:tmpl w:val="667110F5"/>
    <w:lvl w:ilvl="0" w:tentative="0">
      <w:start w:val="3"/>
      <w:numFmt w:val="chineseCounting"/>
      <w:suff w:val="nothing"/>
      <w:lvlText w:val="%1、"/>
      <w:lvlJc w:val="left"/>
    </w:lvl>
  </w:abstractNum>
  <w:abstractNum w:abstractNumId="2">
    <w:nsid w:val="683D5397"/>
    <w:multiLevelType w:val="singleLevel"/>
    <w:tmpl w:val="683D5397"/>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ZjA5YTE3NGRmNTE2NTVjZmE1Mjg0MzNiNDg5MTMifQ=="/>
  </w:docVars>
  <w:rsids>
    <w:rsidRoot w:val="21187439"/>
    <w:rsid w:val="00A7213D"/>
    <w:rsid w:val="00CF7B33"/>
    <w:rsid w:val="01D7278C"/>
    <w:rsid w:val="026904D7"/>
    <w:rsid w:val="034A3C76"/>
    <w:rsid w:val="03C2759E"/>
    <w:rsid w:val="045370E4"/>
    <w:rsid w:val="04E37CBE"/>
    <w:rsid w:val="04E6781C"/>
    <w:rsid w:val="04F15178"/>
    <w:rsid w:val="0537073D"/>
    <w:rsid w:val="05526554"/>
    <w:rsid w:val="06C844D1"/>
    <w:rsid w:val="084560A8"/>
    <w:rsid w:val="085751F0"/>
    <w:rsid w:val="0918763F"/>
    <w:rsid w:val="095C5BE8"/>
    <w:rsid w:val="09F93AE5"/>
    <w:rsid w:val="0D933D59"/>
    <w:rsid w:val="0E311E61"/>
    <w:rsid w:val="0EF26759"/>
    <w:rsid w:val="102F78F5"/>
    <w:rsid w:val="1034056B"/>
    <w:rsid w:val="10781E41"/>
    <w:rsid w:val="10FB54F9"/>
    <w:rsid w:val="11422102"/>
    <w:rsid w:val="11C112BE"/>
    <w:rsid w:val="12841016"/>
    <w:rsid w:val="12B16E4A"/>
    <w:rsid w:val="136A2AEB"/>
    <w:rsid w:val="138A577E"/>
    <w:rsid w:val="13F32E07"/>
    <w:rsid w:val="143D5177"/>
    <w:rsid w:val="144B736C"/>
    <w:rsid w:val="14715F71"/>
    <w:rsid w:val="14AA216D"/>
    <w:rsid w:val="14D92E5B"/>
    <w:rsid w:val="152C6B8A"/>
    <w:rsid w:val="161B184E"/>
    <w:rsid w:val="17413658"/>
    <w:rsid w:val="17C84DD7"/>
    <w:rsid w:val="18A3607E"/>
    <w:rsid w:val="18F10BBF"/>
    <w:rsid w:val="18F55FDC"/>
    <w:rsid w:val="19445ABB"/>
    <w:rsid w:val="19794D37"/>
    <w:rsid w:val="19AD4CED"/>
    <w:rsid w:val="19F46DBD"/>
    <w:rsid w:val="1A840E6A"/>
    <w:rsid w:val="1ACF6C99"/>
    <w:rsid w:val="1B1C34C7"/>
    <w:rsid w:val="1C7D1E5D"/>
    <w:rsid w:val="1C81418F"/>
    <w:rsid w:val="1CB7261F"/>
    <w:rsid w:val="1CF446B2"/>
    <w:rsid w:val="1D126A49"/>
    <w:rsid w:val="1DE22714"/>
    <w:rsid w:val="1E0B7E49"/>
    <w:rsid w:val="1ED514ED"/>
    <w:rsid w:val="1F0B69A1"/>
    <w:rsid w:val="1FBA15B0"/>
    <w:rsid w:val="21187439"/>
    <w:rsid w:val="21A7288B"/>
    <w:rsid w:val="227028F7"/>
    <w:rsid w:val="227117B0"/>
    <w:rsid w:val="22A15BF1"/>
    <w:rsid w:val="22ED3A6B"/>
    <w:rsid w:val="239671C7"/>
    <w:rsid w:val="239C5DB4"/>
    <w:rsid w:val="240769FB"/>
    <w:rsid w:val="24561F70"/>
    <w:rsid w:val="24DD67FD"/>
    <w:rsid w:val="25C33197"/>
    <w:rsid w:val="25D24016"/>
    <w:rsid w:val="25E11740"/>
    <w:rsid w:val="26354C2D"/>
    <w:rsid w:val="27167136"/>
    <w:rsid w:val="271E5306"/>
    <w:rsid w:val="27C16861"/>
    <w:rsid w:val="27D46E2A"/>
    <w:rsid w:val="28034AB8"/>
    <w:rsid w:val="280B262F"/>
    <w:rsid w:val="29F73454"/>
    <w:rsid w:val="2AFE57E5"/>
    <w:rsid w:val="2B8874C5"/>
    <w:rsid w:val="2C471F68"/>
    <w:rsid w:val="2CB40D0E"/>
    <w:rsid w:val="2D47253A"/>
    <w:rsid w:val="2D8F3594"/>
    <w:rsid w:val="2E270A5E"/>
    <w:rsid w:val="306E533B"/>
    <w:rsid w:val="31104E90"/>
    <w:rsid w:val="316164CC"/>
    <w:rsid w:val="327754EF"/>
    <w:rsid w:val="32A55811"/>
    <w:rsid w:val="343C30AD"/>
    <w:rsid w:val="34E3087A"/>
    <w:rsid w:val="35490E0E"/>
    <w:rsid w:val="359F4712"/>
    <w:rsid w:val="36F249C1"/>
    <w:rsid w:val="36FF1B7F"/>
    <w:rsid w:val="372D265B"/>
    <w:rsid w:val="37703889"/>
    <w:rsid w:val="37C76943"/>
    <w:rsid w:val="38AF3DA3"/>
    <w:rsid w:val="38C16934"/>
    <w:rsid w:val="3BCA1D38"/>
    <w:rsid w:val="3BDA6C7F"/>
    <w:rsid w:val="3BE031AB"/>
    <w:rsid w:val="3CBC7B2B"/>
    <w:rsid w:val="3E9D2937"/>
    <w:rsid w:val="3EB6296E"/>
    <w:rsid w:val="3EB96BF2"/>
    <w:rsid w:val="3F2D2BB2"/>
    <w:rsid w:val="3FBFB15A"/>
    <w:rsid w:val="40810D96"/>
    <w:rsid w:val="40E41F39"/>
    <w:rsid w:val="41A75912"/>
    <w:rsid w:val="41DB6B4F"/>
    <w:rsid w:val="428C0CBE"/>
    <w:rsid w:val="43D97E26"/>
    <w:rsid w:val="43E517BE"/>
    <w:rsid w:val="45FD2200"/>
    <w:rsid w:val="476A1E43"/>
    <w:rsid w:val="47A75E14"/>
    <w:rsid w:val="47CA40E5"/>
    <w:rsid w:val="47E92A25"/>
    <w:rsid w:val="48776FC8"/>
    <w:rsid w:val="48B6445C"/>
    <w:rsid w:val="49806E30"/>
    <w:rsid w:val="49B25D61"/>
    <w:rsid w:val="4A4E70BE"/>
    <w:rsid w:val="4BB42F94"/>
    <w:rsid w:val="4C911C26"/>
    <w:rsid w:val="4C991733"/>
    <w:rsid w:val="4CCA0D79"/>
    <w:rsid w:val="4D2842B4"/>
    <w:rsid w:val="4D3A6F3B"/>
    <w:rsid w:val="4D6F6E97"/>
    <w:rsid w:val="4D7B27DE"/>
    <w:rsid w:val="4F08300C"/>
    <w:rsid w:val="4FD60D23"/>
    <w:rsid w:val="5021370E"/>
    <w:rsid w:val="503301CE"/>
    <w:rsid w:val="50D52CA9"/>
    <w:rsid w:val="51194D68"/>
    <w:rsid w:val="516602C6"/>
    <w:rsid w:val="521554B3"/>
    <w:rsid w:val="5248401B"/>
    <w:rsid w:val="527A0497"/>
    <w:rsid w:val="52B669EE"/>
    <w:rsid w:val="53BF5A3A"/>
    <w:rsid w:val="53DF5C01"/>
    <w:rsid w:val="544E1318"/>
    <w:rsid w:val="545D46C8"/>
    <w:rsid w:val="548E33C1"/>
    <w:rsid w:val="54C043A2"/>
    <w:rsid w:val="54DD74B7"/>
    <w:rsid w:val="55404E30"/>
    <w:rsid w:val="55775D97"/>
    <w:rsid w:val="55D929FB"/>
    <w:rsid w:val="567674C5"/>
    <w:rsid w:val="56A67674"/>
    <w:rsid w:val="5746213C"/>
    <w:rsid w:val="5781547F"/>
    <w:rsid w:val="57872239"/>
    <w:rsid w:val="57AC55A6"/>
    <w:rsid w:val="58016FE6"/>
    <w:rsid w:val="58365C18"/>
    <w:rsid w:val="589E7F35"/>
    <w:rsid w:val="5A6776D7"/>
    <w:rsid w:val="5A997268"/>
    <w:rsid w:val="5B473750"/>
    <w:rsid w:val="5B583BEB"/>
    <w:rsid w:val="5C064E9E"/>
    <w:rsid w:val="5C27796D"/>
    <w:rsid w:val="5CFF019C"/>
    <w:rsid w:val="5D0D455B"/>
    <w:rsid w:val="5D184CAE"/>
    <w:rsid w:val="5EE16154"/>
    <w:rsid w:val="5EF00AD7"/>
    <w:rsid w:val="5F06135B"/>
    <w:rsid w:val="5FDE0E85"/>
    <w:rsid w:val="5FF32431"/>
    <w:rsid w:val="60B50190"/>
    <w:rsid w:val="61381225"/>
    <w:rsid w:val="61397AE4"/>
    <w:rsid w:val="628B7ECE"/>
    <w:rsid w:val="62C57906"/>
    <w:rsid w:val="63533FB2"/>
    <w:rsid w:val="643C2349"/>
    <w:rsid w:val="64930778"/>
    <w:rsid w:val="65262B40"/>
    <w:rsid w:val="6585763E"/>
    <w:rsid w:val="65C63010"/>
    <w:rsid w:val="65E32958"/>
    <w:rsid w:val="661223FE"/>
    <w:rsid w:val="66B64B70"/>
    <w:rsid w:val="67256946"/>
    <w:rsid w:val="67D33EBA"/>
    <w:rsid w:val="68A16ECE"/>
    <w:rsid w:val="68C1662E"/>
    <w:rsid w:val="68D92B44"/>
    <w:rsid w:val="697A136B"/>
    <w:rsid w:val="69E330DC"/>
    <w:rsid w:val="6A027851"/>
    <w:rsid w:val="6A0E4722"/>
    <w:rsid w:val="6B127BE8"/>
    <w:rsid w:val="6B180AB1"/>
    <w:rsid w:val="6C0B1BBC"/>
    <w:rsid w:val="6C465F5C"/>
    <w:rsid w:val="6D694BAA"/>
    <w:rsid w:val="6DB87489"/>
    <w:rsid w:val="6E4F42F3"/>
    <w:rsid w:val="6E7FF64A"/>
    <w:rsid w:val="6F332A28"/>
    <w:rsid w:val="71AF3B81"/>
    <w:rsid w:val="724A54B2"/>
    <w:rsid w:val="727E14FC"/>
    <w:rsid w:val="72CB3D7C"/>
    <w:rsid w:val="732D5122"/>
    <w:rsid w:val="73E21C51"/>
    <w:rsid w:val="74AE3461"/>
    <w:rsid w:val="75A04CCE"/>
    <w:rsid w:val="7631264D"/>
    <w:rsid w:val="76967512"/>
    <w:rsid w:val="77101B8D"/>
    <w:rsid w:val="7765313E"/>
    <w:rsid w:val="77C36B2C"/>
    <w:rsid w:val="795F4DE1"/>
    <w:rsid w:val="79A35BD5"/>
    <w:rsid w:val="79BD656D"/>
    <w:rsid w:val="79EF4034"/>
    <w:rsid w:val="7AC03A32"/>
    <w:rsid w:val="7B8D67B1"/>
    <w:rsid w:val="7C0B6784"/>
    <w:rsid w:val="7C4631E8"/>
    <w:rsid w:val="7C6110C3"/>
    <w:rsid w:val="7C806AB1"/>
    <w:rsid w:val="7CBA15B9"/>
    <w:rsid w:val="7CEC5AE4"/>
    <w:rsid w:val="7D6D425E"/>
    <w:rsid w:val="7EA01CCB"/>
    <w:rsid w:val="7EB8613E"/>
    <w:rsid w:val="7EEB7EA2"/>
    <w:rsid w:val="7F34644B"/>
    <w:rsid w:val="7F5F2B7A"/>
    <w:rsid w:val="7FEBF9DC"/>
    <w:rsid w:val="9BD7F88D"/>
    <w:rsid w:val="9FFFCC5B"/>
    <w:rsid w:val="ED7E03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4"/>
    <w:basedOn w:val="1"/>
    <w:next w:val="1"/>
    <w:qFormat/>
    <w:uiPriority w:val="99"/>
    <w:pPr>
      <w:autoSpaceDE w:val="0"/>
      <w:autoSpaceDN w:val="0"/>
      <w:ind w:left="20"/>
      <w:jc w:val="left"/>
      <w:outlineLvl w:val="3"/>
    </w:pPr>
    <w:rPr>
      <w:rFonts w:ascii="宋体" w:hAnsi="宋体" w:eastAsia="宋体" w:cs="宋体"/>
      <w:b/>
      <w:bCs/>
      <w:kern w:val="0"/>
      <w:sz w:val="22"/>
      <w:lang w:val="zh-TW" w:eastAsia="zh-TW"/>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rPr>
  </w:style>
  <w:style w:type="paragraph" w:styleId="5">
    <w:name w:val="Normal Indent"/>
    <w:basedOn w:val="1"/>
    <w:next w:val="1"/>
    <w:qFormat/>
    <w:uiPriority w:val="0"/>
    <w:pPr>
      <w:ind w:firstLine="420" w:firstLineChars="200"/>
    </w:pPr>
    <w:rPr>
      <w:rFonts w:eastAsia="宋体"/>
      <w:sz w:val="21"/>
      <w:szCs w:val="24"/>
    </w:rPr>
  </w:style>
  <w:style w:type="paragraph" w:styleId="6">
    <w:name w:val="annotation text"/>
    <w:basedOn w:val="1"/>
    <w:qFormat/>
    <w:uiPriority w:val="0"/>
    <w:pPr>
      <w:jc w:val="left"/>
    </w:pPr>
  </w:style>
  <w:style w:type="paragraph" w:styleId="7">
    <w:name w:val="Body Text Indent"/>
    <w:basedOn w:val="1"/>
    <w:next w:val="5"/>
    <w:qFormat/>
    <w:uiPriority w:val="0"/>
    <w:pPr>
      <w:ind w:firstLine="615"/>
    </w:pPr>
    <w:rPr>
      <w:rFonts w:ascii="仿宋_GB2312" w:eastAsia="仿宋_GB2312"/>
      <w:sz w:val="30"/>
      <w:szCs w:val="30"/>
    </w:rPr>
  </w:style>
  <w:style w:type="paragraph" w:styleId="8">
    <w:name w:val="Plain Text"/>
    <w:basedOn w:val="1"/>
    <w:qFormat/>
    <w:uiPriority w:val="0"/>
    <w:rPr>
      <w:rFonts w:ascii="宋体" w:hAnsi="Courier New" w:eastAsia="宋体"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5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宋体" w:hAnsi="宋体" w:eastAsia="宋体" w:cs="宋体"/>
      <w:color w:val="000000"/>
      <w:sz w:val="18"/>
      <w:szCs w:val="18"/>
      <w:u w:val="none"/>
    </w:rPr>
  </w:style>
  <w:style w:type="character" w:customStyle="1" w:styleId="19">
    <w:name w:val="font21"/>
    <w:basedOn w:val="12"/>
    <w:qFormat/>
    <w:uiPriority w:val="0"/>
    <w:rPr>
      <w:rFonts w:hint="default" w:ascii="Times New Roman" w:hAnsi="Times New Roman" w:cs="Times New Roman"/>
      <w:color w:val="000000"/>
      <w:sz w:val="20"/>
      <w:szCs w:val="20"/>
      <w:u w:val="none"/>
    </w:rPr>
  </w:style>
  <w:style w:type="character" w:customStyle="1" w:styleId="20">
    <w:name w:val="font41"/>
    <w:basedOn w:val="12"/>
    <w:qFormat/>
    <w:uiPriority w:val="0"/>
    <w:rPr>
      <w:rFonts w:hint="eastAsia" w:ascii="宋体" w:hAnsi="宋体" w:eastAsia="宋体" w:cs="宋体"/>
      <w:b/>
      <w:color w:val="000000"/>
      <w:sz w:val="20"/>
      <w:szCs w:val="20"/>
      <w:u w:val="none"/>
    </w:rPr>
  </w:style>
  <w:style w:type="character" w:customStyle="1" w:styleId="21">
    <w:name w:val="font71"/>
    <w:basedOn w:val="12"/>
    <w:qFormat/>
    <w:uiPriority w:val="0"/>
    <w:rPr>
      <w:rFonts w:hint="eastAsia" w:ascii="宋体" w:hAnsi="宋体" w:eastAsia="宋体" w:cs="宋体"/>
      <w:color w:val="000000"/>
      <w:sz w:val="20"/>
      <w:szCs w:val="20"/>
      <w:u w:val="none"/>
    </w:rPr>
  </w:style>
  <w:style w:type="character" w:customStyle="1" w:styleId="22">
    <w:name w:val="font91"/>
    <w:basedOn w:val="12"/>
    <w:qFormat/>
    <w:uiPriority w:val="0"/>
    <w:rPr>
      <w:rFonts w:hint="eastAsia" w:ascii="宋体" w:hAnsi="宋体" w:eastAsia="宋体" w:cs="宋体"/>
      <w:color w:val="000000"/>
      <w:sz w:val="20"/>
      <w:szCs w:val="20"/>
      <w:u w:val="none"/>
    </w:rPr>
  </w:style>
  <w:style w:type="character" w:customStyle="1" w:styleId="23">
    <w:name w:val="font101"/>
    <w:basedOn w:val="12"/>
    <w:qFormat/>
    <w:uiPriority w:val="0"/>
    <w:rPr>
      <w:rFonts w:hint="default" w:ascii="Times New Roman" w:hAnsi="Times New Roman" w:cs="Times New Roman"/>
      <w:color w:val="000000"/>
      <w:sz w:val="20"/>
      <w:szCs w:val="20"/>
      <w:u w:val="none"/>
    </w:rPr>
  </w:style>
  <w:style w:type="character" w:customStyle="1" w:styleId="24">
    <w:name w:val="font111"/>
    <w:basedOn w:val="12"/>
    <w:qFormat/>
    <w:uiPriority w:val="0"/>
    <w:rPr>
      <w:rFonts w:hint="eastAsia" w:ascii="宋体" w:hAnsi="宋体" w:eastAsia="宋体" w:cs="宋体"/>
      <w:color w:val="000000"/>
      <w:sz w:val="20"/>
      <w:szCs w:val="20"/>
      <w:u w:val="none"/>
    </w:rPr>
  </w:style>
  <w:style w:type="character" w:customStyle="1" w:styleId="25">
    <w:name w:val="font121"/>
    <w:basedOn w:val="12"/>
    <w:qFormat/>
    <w:uiPriority w:val="0"/>
    <w:rPr>
      <w:rFonts w:hint="eastAsia" w:ascii="宋体" w:hAnsi="宋体" w:eastAsia="宋体" w:cs="宋体"/>
      <w:b/>
      <w:color w:val="000000"/>
      <w:sz w:val="20"/>
      <w:szCs w:val="20"/>
      <w:u w:val="none"/>
    </w:rPr>
  </w:style>
  <w:style w:type="character" w:customStyle="1" w:styleId="26">
    <w:name w:val="font0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19510</Words>
  <Characters>24552</Characters>
  <Lines>0</Lines>
  <Paragraphs>0</Paragraphs>
  <TotalTime>10</TotalTime>
  <ScaleCrop>false</ScaleCrop>
  <LinksUpToDate>false</LinksUpToDate>
  <CharactersWithSpaces>25249</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2023-05-23T09:40:00Z</dcterms:created>
  <dc:creator>寻乌农商银行</dc:creator>
  <cp:lastModifiedBy>Administrator</cp:lastModifiedBy>
  <cp:lastPrinted>2025-07-11T17:22:00Z</cp:lastPrinted>
  <dcterms:modified xsi:type="dcterms:W3CDTF">2025-07-16T01:25:24Z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87B2176F988F4D81A3F0FF32A6E0E531</vt:lpwstr>
  </property>
  <property fmtid="{D5CDD505-2E9C-101B-9397-08002B2CF9AE}" pid="4" name="KSOTemplateDocerSaveRecord">
    <vt:lpwstr>eyJoZGlkIjoiNmYzYTNkNTVlODRlOTcxYTcyNDA1ZDU3MDgzNmM4MTMiLCJ1c2VySWQiOiI0MTA2NTAzMTYifQ==</vt:lpwstr>
  </property>
</Properties>
</file>